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5375" w:type="dxa"/>
        <w:jc w:val="center"/>
        <w:tblLayout w:type="fixed"/>
        <w:tblCellMar>
          <w:top w:w="0" w:type="dxa"/>
          <w:left w:w="108" w:type="dxa"/>
          <w:bottom w:w="0" w:type="dxa"/>
          <w:right w:w="108" w:type="dxa"/>
        </w:tblCellMar>
      </w:tblPr>
      <w:tblGrid>
        <w:gridCol w:w="6516"/>
        <w:gridCol w:w="8859"/>
      </w:tblGrid>
      <w:tr w14:paraId="1ED32B29">
        <w:tblPrEx>
          <w:tblCellMar>
            <w:top w:w="0" w:type="dxa"/>
            <w:left w:w="108" w:type="dxa"/>
            <w:bottom w:w="0" w:type="dxa"/>
            <w:right w:w="108" w:type="dxa"/>
          </w:tblCellMar>
        </w:tblPrEx>
        <w:trPr>
          <w:trHeight w:val="1274" w:hRule="atLeast"/>
          <w:jc w:val="center"/>
        </w:trPr>
        <w:tc>
          <w:tcPr>
            <w:tcW w:w="6516" w:type="dxa"/>
          </w:tcPr>
          <w:p w14:paraId="21ADDCD5">
            <w:pPr>
              <w:widowControl w:val="0"/>
              <w:tabs>
                <w:tab w:val="center" w:pos="1418"/>
                <w:tab w:val="center" w:pos="6521"/>
              </w:tabs>
              <w:spacing w:after="0" w:line="240" w:lineRule="auto"/>
              <w:jc w:val="center"/>
              <w:rPr>
                <w:rFonts w:ascii="Times New Roman" w:hAnsi="Times New Roman" w:eastAsia="Calibri" w:cs="Times New Roman"/>
                <w:b/>
                <w:kern w:val="0"/>
                <w:sz w:val="26"/>
                <w:szCs w:val="26"/>
                <w:lang w:val="vi-VN"/>
                <w14:ligatures w14:val="none"/>
              </w:rPr>
            </w:pPr>
            <w:r>
              <w:rPr>
                <w:rFonts w:ascii="Times New Roman" w:hAnsi="Times New Roman" w:eastAsia="Calibri" w:cs="Times New Roman"/>
                <w:kern w:val="0"/>
                <w:sz w:val="26"/>
                <w:szCs w:val="26"/>
                <w14:ligatures w14:val="none"/>
              </w:rPr>
              <w:br w:type="page"/>
            </w:r>
            <w:r>
              <w:rPr>
                <w:rFonts w:ascii="Times New Roman" w:hAnsi="Times New Roman" w:eastAsia="Calibri" w:cs="Times New Roman"/>
                <w:b/>
                <w:kern w:val="0"/>
                <w:sz w:val="26"/>
                <w:szCs w:val="26"/>
                <w:lang w:val="de-DE"/>
                <w14:ligatures w14:val="none"/>
              </w:rPr>
              <w:t>BỘ NÔNG</w:t>
            </w:r>
            <w:r>
              <w:rPr>
                <w:rFonts w:ascii="Times New Roman" w:hAnsi="Times New Roman" w:eastAsia="Calibri" w:cs="Times New Roman"/>
                <w:b/>
                <w:kern w:val="0"/>
                <w:sz w:val="26"/>
                <w:szCs w:val="26"/>
                <w:lang w:val="vi-VN"/>
                <w14:ligatures w14:val="none"/>
              </w:rPr>
              <w:t xml:space="preserve"> NGHIỆP VÀ MÔI TRƯỜNG</w:t>
            </w:r>
          </w:p>
          <w:p w14:paraId="25FD9C17">
            <w:pPr>
              <w:widowControl w:val="0"/>
              <w:spacing w:after="0" w:line="240" w:lineRule="auto"/>
              <w:jc w:val="both"/>
              <w:rPr>
                <w:rFonts w:ascii="Times New Roman" w:hAnsi="Times New Roman" w:eastAsia="Calibri" w:cs="Times New Roman"/>
                <w:spacing w:val="-6"/>
                <w:kern w:val="0"/>
                <w:sz w:val="26"/>
                <w:szCs w:val="26"/>
                <w:lang w:val="nl-NL"/>
                <w14:ligatures w14:val="none"/>
              </w:rPr>
            </w:pPr>
            <w:r>
              <w:rPr>
                <w:rFonts w:ascii="Times New Roman" w:hAnsi="Times New Roman" w:eastAsia="Calibri" w:cs="Times New Roman"/>
                <w:b/>
                <w:kern w:val="0"/>
                <w:sz w:val="26"/>
                <w:szCs w:val="26"/>
                <w14:ligatures w14:val="none"/>
              </w:rPr>
              <mc:AlternateContent>
                <mc:Choice Requires="wps">
                  <w:drawing>
                    <wp:anchor distT="0" distB="0" distL="114300" distR="114300" simplePos="0" relativeHeight="251659264" behindDoc="0" locked="0" layoutInCell="1" allowOverlap="1">
                      <wp:simplePos x="0" y="0"/>
                      <wp:positionH relativeFrom="column">
                        <wp:posOffset>1250315</wp:posOffset>
                      </wp:positionH>
                      <wp:positionV relativeFrom="paragraph">
                        <wp:posOffset>65405</wp:posOffset>
                      </wp:positionV>
                      <wp:extent cx="1568450" cy="0"/>
                      <wp:effectExtent l="0" t="0" r="0" b="0"/>
                      <wp:wrapNone/>
                      <wp:docPr id="3" name="Line 4"/>
                      <wp:cNvGraphicFramePr/>
                      <a:graphic xmlns:a="http://schemas.openxmlformats.org/drawingml/2006/main">
                        <a:graphicData uri="http://schemas.microsoft.com/office/word/2010/wordprocessingShape">
                          <wps:wsp>
                            <wps:cNvCnPr/>
                            <wps:spPr bwMode="auto">
                              <a:xfrm>
                                <a:off x="0" y="0"/>
                                <a:ext cx="1568450" cy="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98.45pt;margin-top:5.15pt;height:0pt;width:123.5pt;z-index:251659264;mso-width-relative:page;mso-height-relative:page;" filled="f" stroked="t" coordsize="21600,21600" o:gfxdata="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LBxZhbVAAAA&#10;CQEAAA8AAAAAAAAAAQAgAAAAIgAAAGRycy9kb3ducmV2LnhtbFBLAQIUABQAAAAIAIdO4kC4sKic&#10;rgEAAG0DAAAOAAAAAAAAAAEAIAAAACQBAABkcnMvZTJvRG9jLnhtbFBLBQYAAAAABgAGAFkBAABE&#10;BQAAAAA=&#10;">
                      <v:fill on="f" focussize="0,0"/>
                      <v:stroke color="#000000" joinstyle="round"/>
                      <v:imagedata o:title=""/>
                      <o:lock v:ext="edit" aspectratio="f"/>
                    </v:line>
                  </w:pict>
                </mc:Fallback>
              </mc:AlternateContent>
            </w:r>
          </w:p>
          <w:p w14:paraId="0D59E77D">
            <w:pPr>
              <w:widowControl w:val="0"/>
              <w:spacing w:after="0" w:line="240" w:lineRule="auto"/>
              <w:jc w:val="both"/>
              <w:rPr>
                <w:rFonts w:ascii="Times New Roman" w:hAnsi="Times New Roman" w:eastAsia="Calibri" w:cs="Times New Roman"/>
                <w:b/>
                <w:kern w:val="0"/>
                <w:sz w:val="26"/>
                <w:szCs w:val="26"/>
                <w:lang w:val="de-DE"/>
                <w14:ligatures w14:val="none"/>
              </w:rPr>
            </w:pPr>
          </w:p>
        </w:tc>
        <w:tc>
          <w:tcPr>
            <w:tcW w:w="8859" w:type="dxa"/>
          </w:tcPr>
          <w:p w14:paraId="4D1264AD">
            <w:pPr>
              <w:widowControl w:val="0"/>
              <w:tabs>
                <w:tab w:val="center" w:pos="1418"/>
                <w:tab w:val="center" w:pos="6521"/>
              </w:tabs>
              <w:spacing w:after="0" w:line="240" w:lineRule="auto"/>
              <w:jc w:val="center"/>
              <w:outlineLvl w:val="1"/>
              <w:rPr>
                <w:rFonts w:ascii="Times New Roman" w:hAnsi="Times New Roman" w:eastAsia="Times New Roman" w:cs="Times New Roman"/>
                <w:b/>
                <w:kern w:val="0"/>
                <w:sz w:val="26"/>
                <w:szCs w:val="26"/>
                <w:lang w:val="de-DE"/>
                <w14:ligatures w14:val="none"/>
              </w:rPr>
            </w:pPr>
            <w:r>
              <w:rPr>
                <w:rFonts w:ascii="Times New Roman" w:hAnsi="Times New Roman" w:eastAsia="Times New Roman" w:cs="Times New Roman"/>
                <w:b/>
                <w:kern w:val="0"/>
                <w:sz w:val="26"/>
                <w:szCs w:val="26"/>
                <w:lang w:val="de-DE"/>
                <w14:ligatures w14:val="none"/>
              </w:rPr>
              <w:t>CỘNG HOÀ XÃ HỘI CHỦ NGHĨA VIỆT NAM</w:t>
            </w:r>
          </w:p>
          <w:p w14:paraId="55AD1883">
            <w:pPr>
              <w:widowControl w:val="0"/>
              <w:tabs>
                <w:tab w:val="center" w:pos="1418"/>
                <w:tab w:val="center" w:pos="6521"/>
              </w:tabs>
              <w:spacing w:after="0" w:line="240" w:lineRule="auto"/>
              <w:jc w:val="center"/>
              <w:rPr>
                <w:rFonts w:ascii="Times New Roman" w:hAnsi="Times New Roman" w:eastAsia="Calibri" w:cs="Times New Roman"/>
                <w:b/>
                <w:kern w:val="0"/>
                <w:sz w:val="26"/>
                <w:szCs w:val="26"/>
                <w:lang w:val="de-DE"/>
                <w14:ligatures w14:val="none"/>
              </w:rPr>
            </w:pPr>
            <w:r>
              <w:rPr>
                <w:rFonts w:ascii="Times New Roman" w:hAnsi="Times New Roman" w:eastAsia="Calibri" w:cs="Times New Roman"/>
                <w:b/>
                <w:kern w:val="0"/>
                <w:sz w:val="26"/>
                <w:szCs w:val="26"/>
                <w:lang w:val="de-DE"/>
                <w14:ligatures w14:val="none"/>
              </w:rPr>
              <w:t>Độc lập - Tự do - Hạnh phúc</w:t>
            </w:r>
          </w:p>
          <w:p w14:paraId="6C92475B">
            <w:pPr>
              <w:widowControl w:val="0"/>
              <w:tabs>
                <w:tab w:val="center" w:pos="1418"/>
                <w:tab w:val="center" w:pos="6521"/>
              </w:tabs>
              <w:spacing w:after="0" w:line="240" w:lineRule="auto"/>
              <w:jc w:val="center"/>
              <w:outlineLvl w:val="0"/>
              <w:rPr>
                <w:rFonts w:ascii="Times New Roman" w:hAnsi="Times New Roman" w:eastAsia="Times New Roman" w:cs="Times New Roman"/>
                <w:i/>
                <w:kern w:val="0"/>
                <w:sz w:val="26"/>
                <w:szCs w:val="26"/>
                <w:lang w:val="de-DE"/>
                <w14:ligatures w14:val="none"/>
              </w:rPr>
            </w:pPr>
            <w:r>
              <w:rPr>
                <w:rFonts w:ascii="Times New Roman" w:hAnsi="Times New Roman" w:eastAsia="Calibri" w:cs="Times New Roman"/>
                <w:b/>
                <w:kern w:val="0"/>
                <w:sz w:val="26"/>
                <w:szCs w:val="26"/>
                <w14:ligatures w14:val="none"/>
              </w:rPr>
              <mc:AlternateContent>
                <mc:Choice Requires="wps">
                  <w:drawing>
                    <wp:anchor distT="0" distB="0" distL="114300" distR="114300" simplePos="0" relativeHeight="251660288" behindDoc="0" locked="0" layoutInCell="1" allowOverlap="1">
                      <wp:simplePos x="0" y="0"/>
                      <wp:positionH relativeFrom="column">
                        <wp:posOffset>1852295</wp:posOffset>
                      </wp:positionH>
                      <wp:positionV relativeFrom="paragraph">
                        <wp:posOffset>59690</wp:posOffset>
                      </wp:positionV>
                      <wp:extent cx="1816100" cy="0"/>
                      <wp:effectExtent l="0" t="0" r="0" b="0"/>
                      <wp:wrapNone/>
                      <wp:docPr id="2" name="Line 3"/>
                      <wp:cNvGraphicFramePr/>
                      <a:graphic xmlns:a="http://schemas.openxmlformats.org/drawingml/2006/main">
                        <a:graphicData uri="http://schemas.microsoft.com/office/word/2010/wordprocessingShape">
                          <wps:wsp>
                            <wps:cNvCnPr/>
                            <wps:spPr bwMode="auto">
                              <a:xfrm>
                                <a:off x="0" y="0"/>
                                <a:ext cx="181610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145.85pt;margin-top:4.7pt;height:0pt;width:143pt;z-index:251660288;mso-width-relative:page;mso-height-relative:page;" filled="f" stroked="t" coordsize="21600,21600" o:gfxdata="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InlI4tQAAAAH&#10;AQAADwAAAAAAAAABACAAAAAiAAAAZHJzL2Rvd25yZXYueG1sUEsBAhQAFAAAAAgAh07iQGIhHfuu&#10;AQAAbQMAAA4AAAAAAAAAAQAgAAAAIwEAAGRycy9lMm9Eb2MueG1sUEsFBgAAAAAGAAYAWQEAAEMF&#10;AAAAAA==&#10;">
                      <v:fill on="f" focussize="0,0"/>
                      <v:stroke color="#000000" joinstyle="round"/>
                      <v:imagedata o:title=""/>
                      <o:lock v:ext="edit" aspectratio="f"/>
                    </v:line>
                  </w:pict>
                </mc:Fallback>
              </mc:AlternateContent>
            </w:r>
          </w:p>
          <w:p w14:paraId="42C8723B">
            <w:pPr>
              <w:widowControl w:val="0"/>
              <w:tabs>
                <w:tab w:val="center" w:pos="1418"/>
                <w:tab w:val="center" w:pos="6521"/>
              </w:tabs>
              <w:spacing w:after="0" w:line="240" w:lineRule="auto"/>
              <w:jc w:val="right"/>
              <w:outlineLvl w:val="0"/>
              <w:rPr>
                <w:rFonts w:ascii="Times New Roman" w:hAnsi="Times New Roman" w:eastAsia="Times New Roman" w:cs="Times New Roman"/>
                <w:b/>
                <w:i/>
                <w:kern w:val="0"/>
                <w:sz w:val="26"/>
                <w:szCs w:val="26"/>
                <w:lang w:val="de-DE"/>
                <w14:ligatures w14:val="none"/>
              </w:rPr>
            </w:pPr>
            <w:r>
              <w:rPr>
                <w:rFonts w:ascii="Times New Roman" w:hAnsi="Times New Roman" w:eastAsia="Times New Roman" w:cs="Times New Roman"/>
                <w:i/>
                <w:kern w:val="0"/>
                <w:sz w:val="26"/>
                <w:szCs w:val="26"/>
                <w:lang w:val="de-DE"/>
                <w14:ligatures w14:val="none"/>
              </w:rPr>
              <w:t xml:space="preserve">Hà Nội, ngày       tháng   </w:t>
            </w:r>
            <w:r>
              <w:rPr>
                <w:rFonts w:hint="default" w:ascii="Times New Roman" w:hAnsi="Times New Roman" w:eastAsia="Times New Roman" w:cs="Times New Roman"/>
                <w:i/>
                <w:kern w:val="0"/>
                <w:sz w:val="26"/>
                <w:szCs w:val="26"/>
                <w:lang w:val="en-US"/>
                <w14:ligatures w14:val="none"/>
              </w:rPr>
              <w:t>06</w:t>
            </w:r>
            <w:r>
              <w:rPr>
                <w:rFonts w:ascii="Times New Roman" w:hAnsi="Times New Roman" w:eastAsia="Times New Roman" w:cs="Times New Roman"/>
                <w:i/>
                <w:kern w:val="0"/>
                <w:sz w:val="26"/>
                <w:szCs w:val="26"/>
                <w:lang w:val="vi-VN"/>
                <w14:ligatures w14:val="none"/>
              </w:rPr>
              <w:t xml:space="preserve">  </w:t>
            </w:r>
            <w:r>
              <w:rPr>
                <w:rFonts w:ascii="Times New Roman" w:hAnsi="Times New Roman" w:eastAsia="Times New Roman" w:cs="Times New Roman"/>
                <w:i/>
                <w:kern w:val="0"/>
                <w:sz w:val="26"/>
                <w:szCs w:val="26"/>
                <w:lang w:val="de-DE"/>
                <w14:ligatures w14:val="none"/>
              </w:rPr>
              <w:t>năm 2026</w:t>
            </w:r>
          </w:p>
        </w:tc>
      </w:tr>
    </w:tbl>
    <w:p w14:paraId="41210563">
      <w:pPr>
        <w:spacing w:after="0" w:line="240" w:lineRule="auto"/>
        <w:jc w:val="both"/>
        <w:rPr>
          <w:rFonts w:ascii="Times New Roman" w:hAnsi="Times New Roman" w:cs="Times New Roman"/>
          <w:b/>
          <w:bCs/>
          <w:kern w:val="0"/>
          <w:sz w:val="26"/>
          <w:szCs w:val="26"/>
          <w:lang w:val="vi-VN"/>
          <w14:ligatures w14:val="none"/>
        </w:rPr>
      </w:pPr>
    </w:p>
    <w:p w14:paraId="262B82B0">
      <w:pPr>
        <w:spacing w:after="0" w:line="240" w:lineRule="auto"/>
        <w:jc w:val="center"/>
        <w:rPr>
          <w:rFonts w:ascii="Times New Roman" w:hAnsi="Times New Roman" w:cs="Times New Roman"/>
          <w:b/>
          <w:bCs/>
          <w:kern w:val="0"/>
          <w:sz w:val="28"/>
          <w:szCs w:val="28"/>
          <w:lang w:val="vi-VN"/>
          <w14:ligatures w14:val="none"/>
        </w:rPr>
      </w:pPr>
      <w:r>
        <w:rPr>
          <w:rFonts w:ascii="Times New Roman" w:hAnsi="Times New Roman" w:cs="Times New Roman"/>
          <w:b/>
          <w:bCs/>
          <w:kern w:val="0"/>
          <w:sz w:val="28"/>
          <w:szCs w:val="28"/>
          <w:lang w:val="vi-VN"/>
          <w14:ligatures w14:val="none"/>
        </w:rPr>
        <w:t xml:space="preserve">BẢN TỔNG HỢP, GIẢI TRÌNH, TIẾP THU Ý KIẾN </w:t>
      </w:r>
      <w:r>
        <w:rPr>
          <w:rFonts w:hint="default" w:ascii="Times New Roman" w:hAnsi="Times New Roman" w:cs="Times New Roman"/>
          <w:b/>
          <w:bCs/>
          <w:kern w:val="0"/>
          <w:sz w:val="28"/>
          <w:szCs w:val="28"/>
          <w:lang w:val="en-US"/>
          <w14:ligatures w14:val="none"/>
        </w:rPr>
        <w:t>GÓP Ý</w:t>
      </w:r>
      <w:r>
        <w:rPr>
          <w:rFonts w:ascii="Times New Roman" w:hAnsi="Times New Roman" w:cs="Times New Roman"/>
          <w:b/>
          <w:bCs/>
          <w:kern w:val="0"/>
          <w:sz w:val="28"/>
          <w:szCs w:val="28"/>
          <w:lang w:val="vi-VN"/>
          <w14:ligatures w14:val="none"/>
        </w:rPr>
        <w:t xml:space="preserve"> ĐỐI VỚI DỰ THẢO</w:t>
      </w:r>
    </w:p>
    <w:p w14:paraId="4ED72565">
      <w:pPr>
        <w:spacing w:after="120" w:line="240" w:lineRule="auto"/>
        <w:jc w:val="center"/>
        <w:rPr>
          <w:rFonts w:ascii="Times New Roman" w:hAnsi="Times New Roman" w:cs="Times New Roman"/>
          <w:b/>
          <w:bCs/>
          <w:caps/>
          <w:sz w:val="28"/>
          <w:szCs w:val="28"/>
        </w:rPr>
      </w:pPr>
      <w:r>
        <w:rPr>
          <w:rFonts w:ascii="Times New Roman" w:hAnsi="Times New Roman" w:cs="Times New Roman"/>
          <w:b/>
          <w:bCs/>
          <w:sz w:val="28"/>
          <w:szCs w:val="28"/>
          <w:lang w:val="vi-VN"/>
        </w:rPr>
        <w:t xml:space="preserve">NGHỊ ĐỊNH </w:t>
      </w:r>
      <w:r>
        <w:rPr>
          <w:rFonts w:ascii="Times New Roman" w:hAnsi="Times New Roman" w:cs="Times New Roman"/>
          <w:b/>
          <w:bCs/>
          <w:caps/>
          <w:sz w:val="28"/>
          <w:szCs w:val="28"/>
        </w:rPr>
        <w:t>VỀ PHÁT TRIỂN LIÊN KẾT CHUỖI GIÁ TRỊ NÔNG NGHIỆP BỀN VỮNG</w:t>
      </w:r>
    </w:p>
    <w:p w14:paraId="7D267676">
      <w:pPr>
        <w:spacing w:after="120" w:line="240" w:lineRule="auto"/>
        <w:jc w:val="left"/>
        <w:rPr>
          <w:rFonts w:ascii="Times New Roman" w:hAnsi="Times New Roman" w:cs="Times New Roman"/>
          <w:b/>
          <w:bCs/>
          <w:caps/>
          <w:sz w:val="26"/>
          <w:szCs w:val="26"/>
        </w:rPr>
      </w:pPr>
    </w:p>
    <w:p w14:paraId="2A4B6F79">
      <w:pPr>
        <w:numPr>
          <w:ilvl w:val="0"/>
          <w:numId w:val="0"/>
        </w:numPr>
        <w:spacing w:after="120" w:line="240" w:lineRule="auto"/>
        <w:jc w:val="left"/>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 xml:space="preserve">Các đơn vị có văn bản góp ý với ý kiến “Nhất trí nội dung dự thảo”: </w:t>
      </w:r>
      <w:r>
        <w:rPr>
          <w:rFonts w:hint="default" w:ascii="Times New Roman" w:hAnsi="Times New Roman" w:cs="Times New Roman"/>
          <w:b w:val="0"/>
          <w:bCs w:val="0"/>
          <w:sz w:val="26"/>
          <w:szCs w:val="26"/>
          <w:lang w:val="en-US"/>
        </w:rPr>
        <w:t>Bộ Nông nghiệp và Môi trường (Cục Quản lý đê điều và Phòng, chống thiên tai; Vụ Hợp tác quốc tế; Vụ Tổ chức cán bộ); Bộ Xây dựng; Bộ Quốc phòng; Viện Hàn lâm khoa học và công nghệ Việt Nam; Sở Nông nghiệp và Môi trường các tỉnh, thành phố: Lạng Sơn; Đồng Nai; Điện Biên; Quảng Ngãi; UBND Phường Phong Cốc (tỉnh Quảng Ninh).</w:t>
      </w:r>
    </w:p>
    <w:tbl>
      <w:tblPr>
        <w:tblStyle w:val="21"/>
        <w:tblW w:w="15367" w:type="dxa"/>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646"/>
        <w:gridCol w:w="1898"/>
        <w:gridCol w:w="5475"/>
        <w:gridCol w:w="4567"/>
      </w:tblGrid>
      <w:tr w14:paraId="1FC7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blHeader/>
        </w:trPr>
        <w:tc>
          <w:tcPr>
            <w:tcW w:w="781" w:type="dxa"/>
            <w:shd w:val="clear" w:color="auto" w:fill="FFFF00"/>
            <w:vAlign w:val="center"/>
          </w:tcPr>
          <w:p w14:paraId="251AB837">
            <w:pPr>
              <w:keepNext w:val="0"/>
              <w:keepLines w:val="0"/>
              <w:pageBreakBefore w:val="0"/>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TT</w:t>
            </w:r>
          </w:p>
        </w:tc>
        <w:tc>
          <w:tcPr>
            <w:tcW w:w="2646" w:type="dxa"/>
            <w:shd w:val="clear" w:color="auto" w:fill="FFFF00"/>
            <w:vAlign w:val="center"/>
          </w:tcPr>
          <w:p w14:paraId="0D19EAE1">
            <w:pPr>
              <w:keepNext w:val="0"/>
              <w:keepLines w:val="0"/>
              <w:pageBreakBefore w:val="0"/>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 xml:space="preserve">Nội dung </w:t>
            </w:r>
            <w:r>
              <w:rPr>
                <w:rFonts w:hint="default" w:ascii="Times New Roman" w:hAnsi="Times New Roman" w:cs="Times New Roman"/>
                <w:b/>
                <w:bCs/>
                <w:sz w:val="26"/>
                <w:szCs w:val="26"/>
                <w:lang w:val="en-US"/>
              </w:rPr>
              <w:t xml:space="preserve">Dự thảo </w:t>
            </w:r>
            <w:r>
              <w:rPr>
                <w:rFonts w:hint="default" w:ascii="Times New Roman" w:hAnsi="Times New Roman" w:cs="Times New Roman"/>
                <w:b/>
                <w:bCs/>
                <w:sz w:val="26"/>
                <w:szCs w:val="26"/>
                <w:lang w:val="vi-VN"/>
              </w:rPr>
              <w:t>Nghị định</w:t>
            </w:r>
          </w:p>
        </w:tc>
        <w:tc>
          <w:tcPr>
            <w:tcW w:w="1898" w:type="dxa"/>
            <w:shd w:val="clear" w:color="auto" w:fill="FFFF00"/>
            <w:vAlign w:val="center"/>
          </w:tcPr>
          <w:p w14:paraId="3654657F">
            <w:pPr>
              <w:keepNext w:val="0"/>
              <w:keepLines w:val="0"/>
              <w:pageBreakBefore w:val="0"/>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Đ</w:t>
            </w:r>
            <w:r>
              <w:rPr>
                <w:rFonts w:hint="default" w:ascii="Times New Roman" w:hAnsi="Times New Roman" w:cs="Times New Roman"/>
                <w:b/>
                <w:bCs/>
                <w:sz w:val="26"/>
                <w:szCs w:val="26"/>
                <w:lang w:val="vi-VN"/>
              </w:rPr>
              <w:t>ơn vị</w:t>
            </w:r>
            <w:r>
              <w:rPr>
                <w:rFonts w:hint="default" w:ascii="Times New Roman" w:hAnsi="Times New Roman" w:cs="Times New Roman"/>
                <w:b/>
                <w:bCs/>
                <w:sz w:val="26"/>
                <w:szCs w:val="26"/>
                <w:lang w:val="en-US"/>
              </w:rPr>
              <w:t xml:space="preserve"> góp ý</w:t>
            </w:r>
          </w:p>
        </w:tc>
        <w:tc>
          <w:tcPr>
            <w:tcW w:w="5475" w:type="dxa"/>
            <w:shd w:val="clear" w:color="auto" w:fill="FFFF00"/>
            <w:vAlign w:val="center"/>
          </w:tcPr>
          <w:p w14:paraId="5EC695F9">
            <w:pPr>
              <w:keepNext w:val="0"/>
              <w:keepLines w:val="0"/>
              <w:pageBreakBefore w:val="0"/>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en-US"/>
              </w:rPr>
              <w:t xml:space="preserve">Nội dung </w:t>
            </w:r>
            <w:r>
              <w:rPr>
                <w:rFonts w:hint="default" w:ascii="Times New Roman" w:hAnsi="Times New Roman" w:cs="Times New Roman"/>
                <w:b/>
                <w:bCs/>
                <w:sz w:val="26"/>
                <w:szCs w:val="26"/>
                <w:lang w:val="vi-VN"/>
              </w:rPr>
              <w:t>góp ý</w:t>
            </w:r>
          </w:p>
        </w:tc>
        <w:tc>
          <w:tcPr>
            <w:tcW w:w="4567" w:type="dxa"/>
            <w:shd w:val="clear" w:color="auto" w:fill="FFFF00"/>
            <w:vAlign w:val="center"/>
          </w:tcPr>
          <w:p w14:paraId="03744D53">
            <w:pPr>
              <w:keepNext w:val="0"/>
              <w:keepLines w:val="0"/>
              <w:pageBreakBefore w:val="0"/>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G</w:t>
            </w:r>
            <w:r>
              <w:rPr>
                <w:rFonts w:hint="default" w:ascii="Times New Roman" w:hAnsi="Times New Roman" w:cs="Times New Roman"/>
                <w:b/>
                <w:bCs/>
                <w:sz w:val="26"/>
                <w:szCs w:val="26"/>
                <w:lang w:val="vi-VN"/>
              </w:rPr>
              <w:t>iải trình</w:t>
            </w:r>
            <w:r>
              <w:rPr>
                <w:rFonts w:hint="default" w:ascii="Times New Roman" w:hAnsi="Times New Roman" w:cs="Times New Roman"/>
                <w:b/>
                <w:bCs/>
                <w:sz w:val="26"/>
                <w:szCs w:val="26"/>
                <w:lang w:val="en-US"/>
              </w:rPr>
              <w:t>, tiếp thu</w:t>
            </w:r>
          </w:p>
        </w:tc>
      </w:tr>
      <w:tr w14:paraId="5519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81" w:type="dxa"/>
            <w:shd w:val="clear" w:color="auto" w:fill="92D050"/>
          </w:tcPr>
          <w:p w14:paraId="38331EB3">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14586" w:type="dxa"/>
            <w:gridSpan w:val="4"/>
            <w:shd w:val="clear" w:color="auto" w:fill="92D050"/>
            <w:vAlign w:val="center"/>
          </w:tcPr>
          <w:p w14:paraId="530DD7B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b/>
                <w:bCs/>
                <w:i w:val="0"/>
                <w:iCs w:val="0"/>
                <w:sz w:val="26"/>
                <w:szCs w:val="26"/>
                <w:lang w:val="en-US"/>
              </w:rPr>
              <w:t>CÁC VẤN ĐỀ CHUNG</w:t>
            </w:r>
          </w:p>
        </w:tc>
      </w:tr>
      <w:tr w14:paraId="2F64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shd w:val="clear" w:color="auto" w:fill="auto"/>
            <w:vAlign w:val="top"/>
          </w:tcPr>
          <w:p w14:paraId="749F0694">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leftChars="0" w:hanging="357" w:firstLineChars="0"/>
              <w:contextualSpacing w:val="0"/>
              <w:jc w:val="both"/>
              <w:textAlignment w:val="auto"/>
              <w:rPr>
                <w:rFonts w:hint="default" w:ascii="Times New Roman" w:hAnsi="Times New Roman" w:cs="Times New Roman" w:eastAsiaTheme="minorHAnsi"/>
                <w:kern w:val="2"/>
                <w:sz w:val="26"/>
                <w:szCs w:val="26"/>
                <w:lang w:val="vi-VN" w:eastAsia="en-US" w:bidi="ar-SA"/>
                <w14:ligatures w14:val="standardContextual"/>
              </w:rPr>
            </w:pPr>
          </w:p>
        </w:tc>
        <w:tc>
          <w:tcPr>
            <w:tcW w:w="2646" w:type="dxa"/>
            <w:shd w:val="clear" w:color="auto" w:fill="auto"/>
            <w:vAlign w:val="top"/>
          </w:tcPr>
          <w:p w14:paraId="618F232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b w:val="0"/>
                <w:bCs w:val="0"/>
                <w:kern w:val="2"/>
                <w:sz w:val="26"/>
                <w:szCs w:val="26"/>
                <w:lang w:val="en-US" w:eastAsia="en-US" w:bidi="ar-SA"/>
                <w14:ligatures w14:val="standardContextual"/>
              </w:rPr>
            </w:pPr>
            <w:r>
              <w:rPr>
                <w:rFonts w:hint="default" w:ascii="Times New Roman" w:hAnsi="Times New Roman" w:cs="Times New Roman"/>
                <w:b w:val="0"/>
                <w:bCs w:val="0"/>
                <w:kern w:val="2"/>
                <w:sz w:val="26"/>
                <w:szCs w:val="26"/>
                <w:lang w:val="en-US" w:eastAsia="en-US" w:bidi="ar-SA"/>
                <w14:ligatures w14:val="standardContextual"/>
              </w:rPr>
              <w:t>Tên Nghị định</w:t>
            </w:r>
          </w:p>
        </w:tc>
        <w:tc>
          <w:tcPr>
            <w:tcW w:w="1898" w:type="dxa"/>
            <w:shd w:val="clear" w:color="auto" w:fill="auto"/>
            <w:vAlign w:val="top"/>
          </w:tcPr>
          <w:p w14:paraId="47F482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eastAsia="en-US"/>
              </w:rPr>
            </w:pPr>
            <w:r>
              <w:rPr>
                <w:rFonts w:hint="default" w:ascii="Times New Roman" w:hAnsi="Times New Roman" w:cs="Times New Roman"/>
                <w:sz w:val="26"/>
                <w:szCs w:val="26"/>
              </w:rPr>
              <w:t>PGS.TS Chu Tiến Quang</w:t>
            </w:r>
          </w:p>
        </w:tc>
        <w:tc>
          <w:tcPr>
            <w:tcW w:w="5475" w:type="dxa"/>
            <w:shd w:val="clear" w:color="auto" w:fill="auto"/>
            <w:vAlign w:val="top"/>
          </w:tcPr>
          <w:p w14:paraId="77E513A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eastAsia="en-US"/>
              </w:rPr>
            </w:pPr>
            <w:r>
              <w:rPr>
                <w:rFonts w:hint="default" w:ascii="Times New Roman" w:hAnsi="Times New Roman" w:cs="Times New Roman"/>
                <w:sz w:val="26"/>
                <w:szCs w:val="26"/>
                <w:lang w:val="vi-VN" w:eastAsia="en-US"/>
              </w:rPr>
              <w:t>Tên Nghị định chưa phản ánh đầy đủ nội dung về phát triển vùng nguyên liệu; tên gọi và phạm vi điều chỉnh chưa thống nhất.</w:t>
            </w:r>
          </w:p>
        </w:tc>
        <w:tc>
          <w:tcPr>
            <w:tcW w:w="4567" w:type="dxa"/>
            <w:shd w:val="clear" w:color="auto" w:fill="auto"/>
            <w:vAlign w:val="top"/>
          </w:tcPr>
          <w:p w14:paraId="22A6CC6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eastAsia="en-US"/>
              </w:rPr>
            </w:pPr>
            <w:r>
              <w:rPr>
                <w:rFonts w:hint="default" w:ascii="Times New Roman" w:hAnsi="Times New Roman" w:cs="Times New Roman"/>
                <w:sz w:val="26"/>
                <w:szCs w:val="26"/>
                <w:lang w:val="en-US" w:eastAsia="en-US"/>
              </w:rPr>
              <w:t>Giữ nguyên tên Nghị định, đồng thời chỉnh lý Điều 1, Điều 9 và Tờ trình để làm rõ phát triển vùng nguyên liệu là nội dung cấu thành của liên kết chuỗi giá trị.</w:t>
            </w:r>
          </w:p>
        </w:tc>
      </w:tr>
      <w:tr w14:paraId="25527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shd w:val="clear" w:color="auto" w:fill="auto"/>
            <w:vAlign w:val="top"/>
          </w:tcPr>
          <w:p w14:paraId="6E96D09F">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leftChars="0" w:hanging="357" w:firstLineChars="0"/>
              <w:contextualSpacing w:val="0"/>
              <w:jc w:val="both"/>
              <w:textAlignment w:val="auto"/>
              <w:rPr>
                <w:rFonts w:hint="default" w:ascii="Times New Roman" w:hAnsi="Times New Roman" w:cs="Times New Roman" w:eastAsiaTheme="minorHAnsi"/>
                <w:kern w:val="2"/>
                <w:sz w:val="26"/>
                <w:szCs w:val="26"/>
                <w:lang w:val="vi-VN" w:eastAsia="en-US" w:bidi="ar-SA"/>
                <w14:ligatures w14:val="standardContextual"/>
              </w:rPr>
            </w:pPr>
          </w:p>
        </w:tc>
        <w:tc>
          <w:tcPr>
            <w:tcW w:w="2646" w:type="dxa"/>
            <w:shd w:val="clear" w:color="auto" w:fill="auto"/>
            <w:vAlign w:val="top"/>
          </w:tcPr>
          <w:p w14:paraId="37B4D37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b w:val="0"/>
                <w:bCs w:val="0"/>
                <w:kern w:val="2"/>
                <w:sz w:val="26"/>
                <w:szCs w:val="26"/>
                <w:lang w:val="en-US" w:eastAsia="en-US" w:bidi="ar-SA"/>
                <w14:ligatures w14:val="standardContextual"/>
              </w:rPr>
            </w:pPr>
            <w:r>
              <w:rPr>
                <w:rFonts w:hint="default" w:ascii="Times New Roman" w:hAnsi="Times New Roman" w:cs="Times New Roman"/>
                <w:b w:val="0"/>
                <w:bCs w:val="0"/>
                <w:sz w:val="26"/>
                <w:szCs w:val="26"/>
                <w:lang w:val="en-US"/>
              </w:rPr>
              <w:t>Căn cứ pháp lý</w:t>
            </w:r>
          </w:p>
        </w:tc>
        <w:tc>
          <w:tcPr>
            <w:tcW w:w="1898" w:type="dxa"/>
            <w:shd w:val="clear" w:color="auto" w:fill="auto"/>
            <w:vAlign w:val="top"/>
          </w:tcPr>
          <w:p w14:paraId="327A30F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 xml:space="preserve">Sở Nông nghiệp và MT </w:t>
            </w:r>
            <w:r>
              <w:rPr>
                <w:rFonts w:hint="default" w:ascii="Times New Roman" w:hAnsi="Times New Roman" w:cs="Times New Roman"/>
                <w:sz w:val="26"/>
                <w:szCs w:val="26"/>
                <w:lang w:val="en-US"/>
              </w:rPr>
              <w:t xml:space="preserve">các </w:t>
            </w:r>
            <w:r>
              <w:rPr>
                <w:rFonts w:hint="default" w:ascii="Times New Roman" w:hAnsi="Times New Roman" w:cs="Times New Roman"/>
                <w:sz w:val="26"/>
                <w:szCs w:val="26"/>
              </w:rPr>
              <w:t>tỉnh</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Ninh Bình;</w:t>
            </w:r>
            <w:r>
              <w:rPr>
                <w:rFonts w:hint="default" w:ascii="Times New Roman" w:hAnsi="Times New Roman" w:cs="Times New Roman"/>
                <w:sz w:val="26"/>
                <w:szCs w:val="26"/>
                <w:lang w:val="vi-VN"/>
              </w:rPr>
              <w:t xml:space="preserve"> An Giang;</w:t>
            </w:r>
            <w:r>
              <w:rPr>
                <w:rFonts w:hint="default" w:ascii="Times New Roman" w:hAnsi="Times New Roman" w:cs="Times New Roman"/>
                <w:sz w:val="26"/>
                <w:szCs w:val="26"/>
              </w:rPr>
              <w:t xml:space="preserve"> Hà Tĩnh; Lai Châu; Vụ Kế hoạch </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Tài chính; </w:t>
            </w:r>
          </w:p>
        </w:tc>
        <w:tc>
          <w:tcPr>
            <w:tcW w:w="5475" w:type="dxa"/>
            <w:shd w:val="clear" w:color="auto" w:fill="auto"/>
            <w:vAlign w:val="top"/>
          </w:tcPr>
          <w:p w14:paraId="11E643C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Rà soát lại hệ thống căn cứ pháp lý được viện dẫn trong dự thảo Nghị định theo hướng bảo đảm phù hợp với phạm vi điều chỉnh của văn bản quy phạm pháp luật. Một số luật được dẫn chiếu như Luật An toàn thực phẩm, Luật Bảo vệ môi trường, Luật Lâm nghiệp</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chưa thể hiện mối liên hệ trực tiếp với nội dung điều chỉnh của Nghị định. </w:t>
            </w:r>
            <w:r>
              <w:rPr>
                <w:rFonts w:hint="default" w:ascii="Times New Roman" w:hAnsi="Times New Roman" w:cs="Times New Roman"/>
                <w:sz w:val="26"/>
                <w:szCs w:val="26"/>
                <w:lang w:val="en-US"/>
              </w:rPr>
              <w:t>Đ</w:t>
            </w:r>
            <w:r>
              <w:rPr>
                <w:rFonts w:hint="default" w:ascii="Times New Roman" w:hAnsi="Times New Roman" w:cs="Times New Roman"/>
                <w:sz w:val="26"/>
                <w:szCs w:val="26"/>
              </w:rPr>
              <w:t>ề nghị cân nhắc lựa chọn các căn cứ pháp lý thực sự cần thiết và có liên quan trực tiếp như Luật Tổ chức Chính phủ, Luật Hợp tác xã, Luật Đầu tư công, Luật Ngân sách nhà nước, Luật Đất đai và các văn bản pháp luật có liên quan khác.</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Luật Trồng</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trọt năm 2018; Luật Chăn nuôi năm 2018; Luật Thủy sản 2017; Luật Thương mại</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2005, Luật Doanh nghiệp 2020</w:t>
            </w:r>
            <w:r>
              <w:rPr>
                <w:rFonts w:hint="default" w:ascii="Times New Roman" w:hAnsi="Times New Roman" w:cs="Times New Roman"/>
                <w:sz w:val="26"/>
                <w:szCs w:val="26"/>
                <w:lang w:val="en-US"/>
              </w:rPr>
              <w:t>.</w:t>
            </w:r>
          </w:p>
          <w:p w14:paraId="3439EBA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i/>
                <w:iCs/>
                <w:kern w:val="2"/>
                <w:sz w:val="26"/>
                <w:szCs w:val="26"/>
                <w:lang w:val="vi-VN" w:eastAsia="en-US" w:bidi="ar-SA"/>
                <w14:ligatures w14:val="standardContextual"/>
              </w:rPr>
            </w:pPr>
            <w:r>
              <w:rPr>
                <w:rFonts w:hint="default" w:ascii="Times New Roman" w:hAnsi="Times New Roman" w:cs="Times New Roman"/>
                <w:i/>
                <w:iCs/>
                <w:sz w:val="26"/>
                <w:szCs w:val="26"/>
                <w:lang w:val="vi-VN"/>
              </w:rPr>
              <w:t>Lý do: Việc bổ sung đầy đủ căn cứ pháp lý nhằm bảo đảm tính thống nhất,</w:t>
            </w:r>
            <w:r>
              <w:rPr>
                <w:rFonts w:hint="default" w:ascii="Times New Roman" w:hAnsi="Times New Roman" w:cs="Times New Roman"/>
                <w:i/>
                <w:iCs/>
                <w:sz w:val="26"/>
                <w:szCs w:val="26"/>
              </w:rPr>
              <w:t xml:space="preserve"> </w:t>
            </w:r>
            <w:r>
              <w:rPr>
                <w:rFonts w:hint="default" w:ascii="Times New Roman" w:hAnsi="Times New Roman" w:cs="Times New Roman"/>
                <w:i/>
                <w:iCs/>
                <w:sz w:val="26"/>
                <w:szCs w:val="26"/>
                <w:lang w:val="vi-VN"/>
              </w:rPr>
              <w:t>đồng bộ của hệ thống văn bản quy phạm pháp luật.</w:t>
            </w:r>
          </w:p>
        </w:tc>
        <w:tc>
          <w:tcPr>
            <w:tcW w:w="4567" w:type="dxa"/>
            <w:shd w:val="clear" w:color="auto" w:fill="auto"/>
            <w:vAlign w:val="top"/>
          </w:tcPr>
          <w:p w14:paraId="678973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en-US"/>
              </w:rPr>
              <w:t>Tiếp thu. Đã bổ sung các căn cứ các Luật liên quan.</w:t>
            </w:r>
          </w:p>
        </w:tc>
      </w:tr>
      <w:tr w14:paraId="6741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265983F">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272EAC3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Thống nhất thuật ngữ</w:t>
            </w:r>
          </w:p>
        </w:tc>
        <w:tc>
          <w:tcPr>
            <w:tcW w:w="1898" w:type="dxa"/>
          </w:tcPr>
          <w:p w14:paraId="4492A13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Vụ Pháp chể</w:t>
            </w:r>
          </w:p>
        </w:tc>
        <w:tc>
          <w:tcPr>
            <w:tcW w:w="5475" w:type="dxa"/>
          </w:tcPr>
          <w:p w14:paraId="483E800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thống nhất sử dụng cụm từ “liên kết chuỗi giá trị nông nghiệp” tại quy định về giải thích từ ngữ, tên gọi của Chương II, Chương III, Chương IV và các Điều tại dự thảo Nghị định, để phù hợp với tên gọi và Phạm vi điều chỉnh của Nghị định.</w:t>
            </w:r>
          </w:p>
        </w:tc>
        <w:tc>
          <w:tcPr>
            <w:tcW w:w="4567" w:type="dxa"/>
          </w:tcPr>
          <w:p w14:paraId="20C2AB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thống nhất tại tên gọi các chương, Điều</w:t>
            </w:r>
          </w:p>
        </w:tc>
      </w:tr>
      <w:tr w14:paraId="5065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44AAE87">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5B02F2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val="0"/>
                <w:bCs w:val="0"/>
                <w:sz w:val="26"/>
                <w:szCs w:val="26"/>
                <w:lang w:val="en-US"/>
              </w:rPr>
            </w:pPr>
          </w:p>
        </w:tc>
        <w:tc>
          <w:tcPr>
            <w:tcW w:w="1898" w:type="dxa"/>
            <w:shd w:val="clear" w:color="auto" w:fill="auto"/>
            <w:vAlign w:val="top"/>
          </w:tcPr>
          <w:p w14:paraId="778B53B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PGS.TS Chu Tiến Quang</w:t>
            </w:r>
          </w:p>
        </w:tc>
        <w:tc>
          <w:tcPr>
            <w:tcW w:w="5475" w:type="dxa"/>
          </w:tcPr>
          <w:p w14:paraId="3D032E1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Cần cân nhắc việc sử dụng cụm từ "bền vững" trong tên Nghị định; làm rõ đây là mục tiêu hay nội dung điều chỉnh.</w:t>
            </w:r>
          </w:p>
        </w:tc>
        <w:tc>
          <w:tcPr>
            <w:tcW w:w="4567" w:type="dxa"/>
          </w:tcPr>
          <w:p w14:paraId="711A56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Dự thảo và Tờ trình được chỉnh lý để làm rõ "bền vững" vừa là mục tiêu vừa là nguyên tắc xuyên suốt trong phát triển liên kết chuỗi giá trị.</w:t>
            </w:r>
          </w:p>
        </w:tc>
      </w:tr>
      <w:tr w14:paraId="5C38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81" w:type="dxa"/>
          </w:tcPr>
          <w:p w14:paraId="1D3FC6E3">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75F3AC1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p>
        </w:tc>
        <w:tc>
          <w:tcPr>
            <w:tcW w:w="1898" w:type="dxa"/>
          </w:tcPr>
          <w:p w14:paraId="201E474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Bộ Dân tộc và Tôn giáo</w:t>
            </w:r>
          </w:p>
        </w:tc>
        <w:tc>
          <w:tcPr>
            <w:tcW w:w="5475" w:type="dxa"/>
          </w:tcPr>
          <w:p w14:paraId="44A11C9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rà soát nội dung dự thảo Nghị định bảo đảm thể chế hóa đầy đủ chủ trương của Đảng, thống nhất, đồng bộ với hệ thống pháp luật liên quan, tránh thất thoát, lãng phí ngân sách Nhà nước, tiêu cực, tham nhũng, cục bộ, lợi ích nhóm.</w:t>
            </w:r>
          </w:p>
        </w:tc>
        <w:tc>
          <w:tcPr>
            <w:tcW w:w="4567" w:type="dxa"/>
          </w:tcPr>
          <w:p w14:paraId="73D20C9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Tiêp thu. Đã rà soát và chỉnh sửa trong nội dung các điều, khoản</w:t>
            </w:r>
          </w:p>
        </w:tc>
      </w:tr>
      <w:tr w14:paraId="1C7EF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81" w:type="dxa"/>
          </w:tcPr>
          <w:p w14:paraId="4D29B81D">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5489129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Lỗi chính tả</w:t>
            </w:r>
          </w:p>
        </w:tc>
        <w:tc>
          <w:tcPr>
            <w:tcW w:w="1898" w:type="dxa"/>
          </w:tcPr>
          <w:p w14:paraId="27EBB3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UBND các tỉnh, TP: </w:t>
            </w:r>
            <w:r>
              <w:rPr>
                <w:rFonts w:hint="default" w:ascii="Times New Roman" w:hAnsi="Times New Roman" w:cs="Times New Roman"/>
                <w:sz w:val="26"/>
                <w:szCs w:val="26"/>
                <w:lang w:val="vi-VN"/>
              </w:rPr>
              <w:t xml:space="preserve">An Giang; TP </w:t>
            </w:r>
            <w:r>
              <w:rPr>
                <w:rFonts w:hint="default" w:ascii="Times New Roman" w:hAnsi="Times New Roman" w:cs="Times New Roman"/>
                <w:sz w:val="26"/>
                <w:szCs w:val="26"/>
                <w:lang w:val="en-US"/>
              </w:rPr>
              <w:t>H</w:t>
            </w:r>
            <w:r>
              <w:rPr>
                <w:rFonts w:hint="default" w:ascii="Times New Roman" w:hAnsi="Times New Roman" w:cs="Times New Roman"/>
                <w:sz w:val="26"/>
                <w:szCs w:val="26"/>
              </w:rPr>
              <w:t>uế</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L</w:t>
            </w:r>
            <w:r>
              <w:rPr>
                <w:rFonts w:hint="default" w:ascii="Times New Roman" w:hAnsi="Times New Roman" w:cs="Times New Roman"/>
                <w:sz w:val="26"/>
                <w:szCs w:val="26"/>
                <w:lang w:val="vi-VN"/>
              </w:rPr>
              <w:t xml:space="preserve">âm </w:t>
            </w:r>
            <w:r>
              <w:rPr>
                <w:rFonts w:hint="default" w:ascii="Times New Roman" w:hAnsi="Times New Roman" w:cs="Times New Roman"/>
                <w:sz w:val="26"/>
                <w:szCs w:val="26"/>
                <w:lang w:val="en-US"/>
              </w:rPr>
              <w:t>Đ</w:t>
            </w:r>
            <w:r>
              <w:rPr>
                <w:rFonts w:hint="default" w:ascii="Times New Roman" w:hAnsi="Times New Roman" w:cs="Times New Roman"/>
                <w:sz w:val="26"/>
                <w:szCs w:val="26"/>
                <w:lang w:val="vi-VN"/>
              </w:rPr>
              <w:t>ồng</w:t>
            </w:r>
            <w:r>
              <w:rPr>
                <w:rFonts w:hint="default" w:ascii="Times New Roman" w:hAnsi="Times New Roman" w:cs="Times New Roman"/>
                <w:sz w:val="26"/>
                <w:szCs w:val="26"/>
                <w:lang w:val="en-US"/>
              </w:rPr>
              <w:t>;</w:t>
            </w:r>
          </w:p>
          <w:p w14:paraId="5D6F070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 xml:space="preserve">Sở Nông nghiệp và </w:t>
            </w:r>
            <w:r>
              <w:rPr>
                <w:rFonts w:hint="default" w:ascii="Times New Roman" w:hAnsi="Times New Roman" w:cs="Times New Roman"/>
                <w:sz w:val="26"/>
                <w:szCs w:val="26"/>
                <w:lang w:val="en-US"/>
              </w:rPr>
              <w:t>Môi trường các tỉnh, TP:</w:t>
            </w:r>
            <w:r>
              <w:rPr>
                <w:rFonts w:hint="default" w:ascii="Times New Roman" w:hAnsi="Times New Roman" w:cs="Times New Roman"/>
                <w:sz w:val="26"/>
                <w:szCs w:val="26"/>
                <w:lang w:val="vi-VN"/>
              </w:rPr>
              <w:t xml:space="preserve"> Đồng Tháp</w:t>
            </w: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Cao Bằng; </w:t>
            </w:r>
            <w:r>
              <w:rPr>
                <w:rFonts w:hint="default" w:ascii="Times New Roman" w:hAnsi="Times New Roman" w:cs="Times New Roman"/>
                <w:sz w:val="26"/>
                <w:szCs w:val="26"/>
                <w:lang w:val="vi-VN"/>
              </w:rPr>
              <w:t>Sơn La; Hà Tĩnh;</w:t>
            </w:r>
            <w:r>
              <w:rPr>
                <w:rFonts w:hint="default" w:ascii="Times New Roman" w:hAnsi="Times New Roman" w:cs="Times New Roman"/>
                <w:sz w:val="26"/>
                <w:szCs w:val="26"/>
              </w:rPr>
              <w:t xml:space="preserve"> TP Cần Thơ</w:t>
            </w:r>
            <w:r>
              <w:rPr>
                <w:rFonts w:hint="default" w:ascii="Times New Roman" w:hAnsi="Times New Roman" w:cs="Times New Roman"/>
                <w:sz w:val="26"/>
                <w:szCs w:val="26"/>
                <w:lang w:val="en-US"/>
              </w:rPr>
              <w:t>.</w:t>
            </w:r>
          </w:p>
          <w:p w14:paraId="310A465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Cục chuyển đổi số; Văn phòng Bộ; Trung tâm </w:t>
            </w:r>
            <w:r>
              <w:rPr>
                <w:rFonts w:hint="default" w:ascii="Times New Roman" w:hAnsi="Times New Roman" w:cs="Times New Roman"/>
                <w:sz w:val="26"/>
                <w:szCs w:val="26"/>
                <w:lang w:val="en-US"/>
              </w:rPr>
              <w:t>K</w:t>
            </w:r>
            <w:r>
              <w:rPr>
                <w:rFonts w:hint="default" w:ascii="Times New Roman" w:hAnsi="Times New Roman" w:cs="Times New Roman"/>
                <w:sz w:val="26"/>
                <w:szCs w:val="26"/>
              </w:rPr>
              <w:t xml:space="preserve">huyến nông </w:t>
            </w:r>
            <w:r>
              <w:rPr>
                <w:rFonts w:hint="default" w:ascii="Times New Roman" w:hAnsi="Times New Roman" w:cs="Times New Roman"/>
                <w:sz w:val="26"/>
                <w:szCs w:val="26"/>
                <w:lang w:val="en-US"/>
              </w:rPr>
              <w:t>Q</w:t>
            </w:r>
            <w:r>
              <w:rPr>
                <w:rFonts w:hint="default" w:ascii="Times New Roman" w:hAnsi="Times New Roman" w:cs="Times New Roman"/>
                <w:sz w:val="26"/>
                <w:szCs w:val="26"/>
              </w:rPr>
              <w:t xml:space="preserve">uốc </w:t>
            </w:r>
            <w:r>
              <w:rPr>
                <w:rFonts w:hint="default" w:ascii="Times New Roman" w:hAnsi="Times New Roman" w:cs="Times New Roman"/>
                <w:sz w:val="26"/>
                <w:szCs w:val="26"/>
                <w:lang w:val="vi-VN"/>
              </w:rPr>
              <w:t xml:space="preserve">gia; </w:t>
            </w:r>
          </w:p>
          <w:p w14:paraId="299C08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Bộ Khoa học và Công nghệ</w:t>
            </w:r>
            <w:r>
              <w:rPr>
                <w:rFonts w:hint="default" w:ascii="Times New Roman" w:hAnsi="Times New Roman" w:cs="Times New Roman"/>
                <w:sz w:val="26"/>
                <w:szCs w:val="26"/>
                <w:lang w:val="en-US"/>
              </w:rPr>
              <w:t>.</w:t>
            </w:r>
          </w:p>
        </w:tc>
        <w:tc>
          <w:tcPr>
            <w:tcW w:w="5475" w:type="dxa"/>
          </w:tcPr>
          <w:p w14:paraId="6A3C862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Điều chỉnh lỗi đánh máy trong dự thảo Nghị định: ( Luật Tổ chức Chính phủ”;</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“Bộ trưởng Bộ Nông nghiệp Môi trường” (trang 1);</w:t>
            </w:r>
            <w:r>
              <w:rPr>
                <w:rFonts w:hint="default" w:ascii="Times New Roman" w:hAnsi="Times New Roman" w:cs="Times New Roman"/>
                <w:sz w:val="26"/>
                <w:szCs w:val="26"/>
                <w:lang w:val="vi-VN"/>
              </w:rPr>
              <w:t xml:space="preserve"> Bỏ chữ hoặc tại khoản 4 điều 3;</w:t>
            </w:r>
            <w:r>
              <w:rPr>
                <w:rFonts w:hint="default" w:ascii="Times New Roman" w:hAnsi="Times New Roman" w:cs="Times New Roman"/>
                <w:sz w:val="26"/>
                <w:szCs w:val="26"/>
              </w:rPr>
              <w:t xml:space="preserve"> </w:t>
            </w:r>
            <w:r>
              <w:rPr>
                <w:rFonts w:hint="default" w:ascii="Times New Roman" w:hAnsi="Times New Roman" w:cs="Times New Roman"/>
                <w:i/>
                <w:iCs/>
                <w:sz w:val="26"/>
                <w:szCs w:val="26"/>
                <w:lang w:val="vi-VN"/>
              </w:rPr>
              <w:t>(</w:t>
            </w:r>
            <w:r>
              <w:rPr>
                <w:rFonts w:hint="default" w:ascii="Times New Roman" w:hAnsi="Times New Roman" w:cs="Times New Roman"/>
                <w:b/>
                <w:bCs/>
                <w:i/>
                <w:iCs/>
                <w:sz w:val="26"/>
                <w:szCs w:val="26"/>
                <w:lang w:val="vi-VN"/>
              </w:rPr>
              <w:t xml:space="preserve">doanh nghệp </w:t>
            </w:r>
            <w:r>
              <w:rPr>
                <w:rFonts w:hint="default" w:ascii="Times New Roman" w:hAnsi="Times New Roman" w:cs="Times New Roman"/>
                <w:i/>
                <w:iCs/>
                <w:sz w:val="26"/>
                <w:szCs w:val="26"/>
                <w:lang w:val="vi-VN"/>
              </w:rPr>
              <w:t>làm chủ trì liên kết)</w:t>
            </w:r>
            <w:r>
              <w:rPr>
                <w:rFonts w:hint="default" w:ascii="Times New Roman" w:hAnsi="Times New Roman" w:cs="Times New Roman"/>
                <w:i/>
                <w:iCs/>
                <w:sz w:val="26"/>
                <w:szCs w:val="26"/>
              </w:rPr>
              <w:t>;</w:t>
            </w:r>
            <w:r>
              <w:rPr>
                <w:rFonts w:hint="default" w:ascii="Times New Roman" w:hAnsi="Times New Roman" w:cs="Times New Roman"/>
                <w:sz w:val="26"/>
                <w:szCs w:val="26"/>
                <w:lang w:val="vi-VN"/>
              </w:rPr>
              <w:t>Tại điểm a khoản 3 Điều 5</w:t>
            </w:r>
            <w:r>
              <w:rPr>
                <w:rFonts w:hint="default" w:ascii="Times New Roman" w:hAnsi="Times New Roman" w:cs="Times New Roman"/>
                <w:sz w:val="26"/>
                <w:szCs w:val="26"/>
              </w:rPr>
              <w:t xml:space="preserve"> “theo theo quy định” (khoản 3 Điều 6, trang 4); “hỗ trợ hác nhau” (khoản 5 Điều 10, trang 7); “chủ trì </w:t>
            </w:r>
            <w:r>
              <w:rPr>
                <w:rFonts w:hint="default" w:ascii="Times New Roman" w:hAnsi="Times New Roman" w:cs="Times New Roman"/>
                <w:sz w:val="26"/>
                <w:szCs w:val="26"/>
                <w:lang w:val="en-US"/>
              </w:rPr>
              <w:t>l</w:t>
            </w:r>
            <w:r>
              <w:rPr>
                <w:rFonts w:hint="default" w:ascii="Times New Roman" w:hAnsi="Times New Roman" w:cs="Times New Roman"/>
                <w:sz w:val="26"/>
                <w:szCs w:val="26"/>
              </w:rPr>
              <w:t xml:space="preserve">iên kết” (Điều 16, trang 11); </w:t>
            </w:r>
            <w:r>
              <w:rPr>
                <w:rFonts w:hint="default" w:ascii="Times New Roman" w:hAnsi="Times New Roman" w:cs="Times New Roman"/>
                <w:i/>
                <w:iCs/>
                <w:sz w:val="26"/>
                <w:szCs w:val="26"/>
                <w:lang w:val="vi-VN"/>
              </w:rPr>
              <w:t>“…</w:t>
            </w:r>
            <w:r>
              <w:rPr>
                <w:rFonts w:hint="default" w:ascii="Times New Roman" w:hAnsi="Times New Roman" w:cs="Times New Roman"/>
                <w:b/>
                <w:bCs/>
                <w:i/>
                <w:iCs/>
                <w:sz w:val="26"/>
                <w:szCs w:val="26"/>
                <w:lang w:val="vi-VN"/>
              </w:rPr>
              <w:t xml:space="preserve">đối với đối với </w:t>
            </w:r>
            <w:r>
              <w:rPr>
                <w:rFonts w:hint="default" w:ascii="Times New Roman" w:hAnsi="Times New Roman" w:cs="Times New Roman"/>
                <w:i/>
                <w:iCs/>
                <w:sz w:val="26"/>
                <w:szCs w:val="26"/>
                <w:lang w:val="vi-VN"/>
              </w:rPr>
              <w:t>hình thức liên kết</w:t>
            </w:r>
            <w:r>
              <w:rPr>
                <w:rFonts w:hint="default" w:ascii="Times New Roman" w:hAnsi="Times New Roman" w:cs="Times New Roman"/>
                <w:sz w:val="26"/>
                <w:szCs w:val="26"/>
                <w:lang w:val="vi-VN"/>
              </w:rPr>
              <w:t xml:space="preserve"> Tại điểm c khoản 1 Điều 16; </w:t>
            </w:r>
            <w:r>
              <w:rPr>
                <w:rFonts w:hint="default" w:ascii="Times New Roman" w:hAnsi="Times New Roman" w:cs="Times New Roman"/>
                <w:sz w:val="26"/>
                <w:szCs w:val="26"/>
              </w:rPr>
              <w:t>khoản 8 Điều 21 (từ “định”);</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Tại điểm c, khoản 1, điều 16, dự thảo Nghị định “Bản thỏa thuận cử đơn vị chủ trì liên kết (theo Mẫu số 03 tại Phụ lục ban hành kèm theo Nghị định này) đối với đối với hình thức liên kết theo chuỗi giá trị mở theo quy định tại Điểm 2 Khoản 3 Điều 5 của Nghị định này” đề nghị sửa lại bằng “….. quy định tại Điểm c Khoản 3 Điều 5 của Nghị định này”.</w:t>
            </w:r>
          </w:p>
          <w:p w14:paraId="61F8123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Đề nghị bỏ từ “được” thứ nhất. Đề nghị sửa là: khác. “liên </w:t>
            </w:r>
            <w:r>
              <w:rPr>
                <w:rFonts w:hint="default" w:ascii="Times New Roman" w:hAnsi="Times New Roman" w:cs="Times New Roman"/>
                <w:sz w:val="26"/>
                <w:szCs w:val="26"/>
                <w:lang w:val="en-US"/>
              </w:rPr>
              <w:t>kết</w:t>
            </w:r>
            <w:r>
              <w:rPr>
                <w:rFonts w:hint="default" w:ascii="Times New Roman" w:hAnsi="Times New Roman" w:cs="Times New Roman"/>
                <w:sz w:val="26"/>
                <w:szCs w:val="26"/>
              </w:rPr>
              <w:t xml:space="preserve">” (khoản 4 Điều 17, trang 13); Tại Điều 16 “kết hoạch liên kết”, tại tiết 2 điểm a khoản 2 Điều 16 “chủ trì iên kết”, tại khoản 4 Điều 17 “liên </w:t>
            </w:r>
            <w:r>
              <w:rPr>
                <w:rFonts w:hint="default" w:ascii="Times New Roman" w:hAnsi="Times New Roman" w:cs="Times New Roman"/>
                <w:sz w:val="26"/>
                <w:szCs w:val="26"/>
                <w:lang w:val="vi-VN"/>
              </w:rPr>
              <w:t>kết</w:t>
            </w:r>
            <w:r>
              <w:rPr>
                <w:rFonts w:hint="default" w:ascii="Times New Roman" w:hAnsi="Times New Roman" w:cs="Times New Roman"/>
                <w:sz w:val="26"/>
                <w:szCs w:val="26"/>
              </w:rPr>
              <w:t xml:space="preserve">”. “chủ trì </w:t>
            </w:r>
            <w:r>
              <w:rPr>
                <w:rFonts w:hint="default" w:ascii="Times New Roman" w:hAnsi="Times New Roman" w:cs="Times New Roman"/>
                <w:sz w:val="26"/>
                <w:szCs w:val="26"/>
                <w:lang w:val="en-US"/>
              </w:rPr>
              <w:t>l</w:t>
            </w:r>
            <w:r>
              <w:rPr>
                <w:rFonts w:hint="default" w:ascii="Times New Roman" w:hAnsi="Times New Roman" w:cs="Times New Roman"/>
                <w:sz w:val="26"/>
                <w:szCs w:val="26"/>
              </w:rPr>
              <w:t>iên kết” tại trang 12, dấu cách tại tên của Sở NNMT</w:t>
            </w:r>
            <w:r>
              <w:rPr>
                <w:rFonts w:hint="default" w:ascii="Times New Roman" w:hAnsi="Times New Roman" w:cs="Times New Roman"/>
                <w:sz w:val="26"/>
                <w:szCs w:val="26"/>
                <w:lang w:val="en-US"/>
              </w:rPr>
              <w:t>,</w:t>
            </w:r>
            <w:r>
              <w:rPr>
                <w:rFonts w:hint="default" w:ascii="Times New Roman" w:hAnsi="Times New Roman" w:cs="Times New Roman"/>
                <w:sz w:val="26"/>
                <w:szCs w:val="26"/>
              </w:rPr>
              <w: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và thống nhất cách viết thay thế cụm từ "Hợp tác xã, liên hiệp hợp tác xã" thành "Hợp tác xã" trong dự thảo Nghị định do đã quy định gọi chung tại khoản 1 Điều 2.</w:t>
            </w:r>
          </w:p>
        </w:tc>
        <w:tc>
          <w:tcPr>
            <w:tcW w:w="4567" w:type="dxa"/>
          </w:tcPr>
          <w:p w14:paraId="04DFE5C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chỉnh sửa lỗi chính tả</w:t>
            </w:r>
          </w:p>
        </w:tc>
      </w:tr>
      <w:tr w14:paraId="430E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1" w:type="dxa"/>
            <w:shd w:val="clear" w:color="auto" w:fill="92D050"/>
          </w:tcPr>
          <w:p w14:paraId="5237B05F">
            <w:pPr>
              <w:pStyle w:val="36"/>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14586" w:type="dxa"/>
            <w:gridSpan w:val="4"/>
            <w:shd w:val="clear" w:color="auto" w:fill="92D050"/>
            <w:vAlign w:val="center"/>
          </w:tcPr>
          <w:p w14:paraId="3F13CD04">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firstLine="0" w:firstLineChars="0"/>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color w:val="auto"/>
                <w:sz w:val="26"/>
                <w:szCs w:val="26"/>
                <w:lang w:val="vi-VN"/>
              </w:rPr>
              <w:t>Chương I</w:t>
            </w:r>
            <w:bookmarkStart w:id="0" w:name="chuong_1_name"/>
            <w:r>
              <w:rPr>
                <w:rFonts w:hint="default" w:ascii="Times New Roman" w:hAnsi="Times New Roman" w:eastAsia="Times New Roman" w:cs="Times New Roman"/>
                <w:b/>
                <w:bCs/>
                <w:color w:val="auto"/>
                <w:sz w:val="26"/>
                <w:szCs w:val="26"/>
                <w:lang w:val="en-US"/>
              </w:rPr>
              <w:t xml:space="preserve">: </w:t>
            </w:r>
            <w:r>
              <w:rPr>
                <w:rFonts w:hint="default" w:ascii="Times New Roman" w:hAnsi="Times New Roman" w:eastAsia="Times New Roman" w:cs="Times New Roman"/>
                <w:b/>
                <w:bCs/>
                <w:color w:val="auto"/>
                <w:sz w:val="26"/>
                <w:szCs w:val="26"/>
                <w:lang w:val="vi-VN"/>
              </w:rPr>
              <w:t>QUY ĐỊNH CHUNG</w:t>
            </w:r>
            <w:bookmarkEnd w:id="0"/>
          </w:p>
        </w:tc>
      </w:tr>
      <w:tr w14:paraId="425E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3146EEA7">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3AF6898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r>
              <w:rPr>
                <w:rFonts w:hint="default" w:ascii="Times New Roman" w:hAnsi="Times New Roman" w:cs="Times New Roman"/>
                <w:b/>
                <w:bCs/>
                <w:sz w:val="26"/>
                <w:szCs w:val="26"/>
                <w:lang w:val="da-DK"/>
              </w:rPr>
              <w:t xml:space="preserve">Điều </w:t>
            </w:r>
            <w:r>
              <w:rPr>
                <w:rFonts w:hint="default" w:ascii="Times New Roman" w:hAnsi="Times New Roman" w:cs="Times New Roman"/>
                <w:b/>
                <w:sz w:val="26"/>
                <w:szCs w:val="26"/>
              </w:rPr>
              <w:fldChar w:fldCharType="begin"/>
            </w:r>
            <w:r>
              <w:rPr>
                <w:rFonts w:hint="default" w:ascii="Times New Roman" w:hAnsi="Times New Roman" w:cs="Times New Roman"/>
                <w:b/>
                <w:sz w:val="26"/>
                <w:szCs w:val="26"/>
                <w:lang w:val="da-DK"/>
              </w:rPr>
              <w:instrText xml:space="preserve"> SEQ Hộp \* ARABIC </w:instrText>
            </w:r>
            <w:r>
              <w:rPr>
                <w:rFonts w:hint="default" w:ascii="Times New Roman" w:hAnsi="Times New Roman" w:cs="Times New Roman"/>
                <w:b/>
                <w:sz w:val="26"/>
                <w:szCs w:val="26"/>
              </w:rPr>
              <w:fldChar w:fldCharType="separate"/>
            </w:r>
            <w:r>
              <w:rPr>
                <w:rFonts w:hint="default" w:ascii="Times New Roman" w:hAnsi="Times New Roman" w:cs="Times New Roman"/>
                <w:b/>
                <w:sz w:val="26"/>
                <w:szCs w:val="26"/>
                <w:lang w:val="da-DK"/>
              </w:rPr>
              <w:t>1</w:t>
            </w:r>
            <w:r>
              <w:rPr>
                <w:rFonts w:hint="default" w:ascii="Times New Roman" w:hAnsi="Times New Roman" w:cs="Times New Roman"/>
                <w:b/>
                <w:sz w:val="26"/>
                <w:szCs w:val="26"/>
              </w:rPr>
              <w:fldChar w:fldCharType="end"/>
            </w:r>
            <w:r>
              <w:rPr>
                <w:rFonts w:hint="default" w:ascii="Times New Roman" w:hAnsi="Times New Roman" w:cs="Times New Roman"/>
                <w:b/>
                <w:bCs/>
                <w:sz w:val="26"/>
                <w:szCs w:val="26"/>
                <w:lang w:val="da-DK"/>
              </w:rPr>
              <w:t>. Phạm vi điều chỉnh</w:t>
            </w:r>
          </w:p>
        </w:tc>
        <w:tc>
          <w:tcPr>
            <w:tcW w:w="1898" w:type="dxa"/>
          </w:tcPr>
          <w:p w14:paraId="1F0812B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13C288D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290866D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63A7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37B4DADB">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1A03FBE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 xml:space="preserve">Nghị định này quy định về nguyên tắc, nội dung, hình thức tổ chức liên kết chuỗi giá trị </w:t>
            </w:r>
            <w:r>
              <w:rPr>
                <w:rFonts w:hint="default" w:ascii="Times New Roman" w:hAnsi="Times New Roman" w:eastAsia="Times New Roman" w:cs="Times New Roman"/>
                <w:sz w:val="26"/>
                <w:szCs w:val="26"/>
              </w:rPr>
              <w:t xml:space="preserve">nông nghiệp; </w:t>
            </w:r>
            <w:r>
              <w:rPr>
                <w:rFonts w:hint="default" w:ascii="Times New Roman" w:hAnsi="Times New Roman" w:eastAsia="Times New Roman" w:cs="Times New Roman"/>
                <w:sz w:val="26"/>
                <w:szCs w:val="26"/>
                <w:lang w:val="vi-VN"/>
              </w:rPr>
              <w:t>phát triển vùng nguyên liệu nông nghiệp; chính sách hỗ trợ của Nhà nước</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cơ chế phối hợp giữa các chủ thể và trách nhiệm quản lý nhà nước trong phát triển liên kết chuỗi giá trị nông nghiệp bền vững.</w:t>
            </w:r>
          </w:p>
          <w:p w14:paraId="303CDBD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29CA067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Cục </w:t>
            </w:r>
            <w:r>
              <w:rPr>
                <w:rFonts w:hint="default" w:ascii="Times New Roman" w:hAnsi="Times New Roman" w:cs="Times New Roman"/>
                <w:sz w:val="26"/>
                <w:szCs w:val="26"/>
                <w:lang w:val="en-US"/>
              </w:rPr>
              <w:t>T</w:t>
            </w:r>
            <w:r>
              <w:rPr>
                <w:rFonts w:hint="default" w:ascii="Times New Roman" w:hAnsi="Times New Roman" w:cs="Times New Roman"/>
                <w:sz w:val="26"/>
                <w:szCs w:val="26"/>
                <w:lang w:val="vi-VN"/>
              </w:rPr>
              <w:t>hủy sản và Kiểm ngư;</w:t>
            </w:r>
          </w:p>
        </w:tc>
        <w:tc>
          <w:tcPr>
            <w:tcW w:w="5475" w:type="dxa"/>
          </w:tcPr>
          <w:p w14:paraId="466600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Đề nghị rà soát, xác định rõ về phạm vi điều chỉnh của Dự thảo Nghị định. Lý do: Tại Quyết định số 125/QĐ-TTg ngày 16/01/2026, Thủ tướng Chính phủ giao Bộ Nông nghiệp và Môi trường chủ trì, xây dựng Nghị định sửa đổi, bổ sung một số điều của Nghị định số 98/2018/NĐ-CP. Vì vậy, tên của Nghị định và phạm vi điều chỉnh tại dự thảo Nghị định cần phải xem xét dựa trên cơ sở tại Nghị định số 98/2018/NĐ-CP. </w:t>
            </w:r>
          </w:p>
        </w:tc>
        <w:tc>
          <w:tcPr>
            <w:tcW w:w="4567" w:type="dxa"/>
          </w:tcPr>
          <w:p w14:paraId="5224AA5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Sau khi Bộ Nông nghiệp và Môi trường xin phép điều chỉnh hình thức xây dựng Nghị định, Phó Thủ tướng Trần Hồng Hà đã đồng ý điều chỉnh nhiệm vụ xây dựng Nghị định thay thế Nghị định số 98/2018/NĐ-CP (tại Văn bản số 3133/VPCP-NN ngày 08/4/2026 của Văn phòng Chính phủ).</w:t>
            </w:r>
          </w:p>
        </w:tc>
      </w:tr>
      <w:tr w14:paraId="361F5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2CA923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057794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vAlign w:val="top"/>
          </w:tcPr>
          <w:p w14:paraId="77B16C6A">
            <w:pPr>
              <w:keepNext w:val="0"/>
              <w:keepLines w:val="0"/>
              <w:pageBreakBefore w:val="0"/>
              <w:tabs>
                <w:tab w:val="left" w:pos="1236"/>
              </w:tabs>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Văn phòng </w:t>
            </w:r>
            <w:r>
              <w:rPr>
                <w:rFonts w:hint="default" w:ascii="Times New Roman" w:hAnsi="Times New Roman" w:cs="Times New Roman"/>
                <w:sz w:val="26"/>
                <w:szCs w:val="26"/>
                <w:lang w:val="en-US"/>
              </w:rPr>
              <w:t>Đ</w:t>
            </w:r>
            <w:r>
              <w:rPr>
                <w:rFonts w:hint="default" w:ascii="Times New Roman" w:hAnsi="Times New Roman" w:cs="Times New Roman"/>
                <w:sz w:val="26"/>
                <w:szCs w:val="26"/>
              </w:rPr>
              <w:t xml:space="preserve">iều phối NTM Trung </w:t>
            </w:r>
            <w:r>
              <w:rPr>
                <w:rFonts w:hint="default" w:ascii="Times New Roman" w:hAnsi="Times New Roman" w:cs="Times New Roman"/>
                <w:sz w:val="26"/>
                <w:szCs w:val="26"/>
                <w:lang w:val="vi-VN"/>
              </w:rPr>
              <w:t>ương; UBND Thành phố Huế</w:t>
            </w:r>
            <w:r>
              <w:rPr>
                <w:rFonts w:hint="default" w:ascii="Times New Roman" w:hAnsi="Times New Roman" w:cs="Times New Roman"/>
                <w:sz w:val="26"/>
                <w:szCs w:val="26"/>
              </w:rPr>
              <w:t>; Sở Nông nghiệp và Môi trường tỉnh An Giang</w:t>
            </w:r>
            <w:r>
              <w:rPr>
                <w:rFonts w:hint="default" w:ascii="Times New Roman" w:hAnsi="Times New Roman" w:cs="Times New Roman"/>
                <w:sz w:val="26"/>
                <w:szCs w:val="26"/>
                <w:lang w:val="en-US"/>
              </w:rPr>
              <w:t>; Liên minh HTX Việt Nam</w:t>
            </w:r>
          </w:p>
        </w:tc>
        <w:tc>
          <w:tcPr>
            <w:tcW w:w="5475" w:type="dxa"/>
          </w:tcPr>
          <w:p w14:paraId="51CD85C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lang w:val="vi-VN"/>
              </w:rPr>
              <w:t>- Đ</w:t>
            </w:r>
            <w:r>
              <w:rPr>
                <w:rFonts w:hint="default" w:ascii="Times New Roman" w:hAnsi="Times New Roman" w:eastAsia="Times New Roman" w:cs="Times New Roman"/>
                <w:sz w:val="26"/>
                <w:szCs w:val="26"/>
              </w:rPr>
              <w:t>ề nghị nghiên cứu bổ sung cụm từ “sản phẩm OCOP” và “dịch vụ du lịch nông nghiệp - nông thôn” vào phạm vi điều chỉnh của Nghị định. Lý do: Hiện nay, sản phẩm OCOP đã được khẳng định là hạt nhân của kinh tế nông thôn (Nghị quyết số 257/2025/QH15 ngày 11/12/2025 của Quốc hội phê duyệt chủ trương đầu tư Chương trình MTQG xây dựng nông thôn mới, giảm nghèo bền vững và phát triển kinh tế - xã hội vùng đồng bào dân tộc thiểu số và miền núi giai đoạn 2026-2035, trong đó giao Thủ tướng Chính phủ : "Ban hành Bộ tiêu chí đánh giá và phân hạng sản phẩm OCOP, theo hướng kế thừa, phù hợp, đồng bộ và nâng cao chất lượng, đặc trưng, thương hiệu gắn với yêu cầu thị trường, thúc đẩy theo hướng xanh, bền vững". Việc đưa các đối tượng này vào Nghị định sẽ tạo cơ sở pháp lý để các chuỗi liên kết tích hợp đa giá trị (nông nghiệp - văn hóa - du lịch) được tiếp cận các chính sách hỗ trợ của Nhà nước;</w:t>
            </w:r>
          </w:p>
          <w:p w14:paraId="15B6B5A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lang w:val="vi-VN"/>
              </w:rPr>
              <w:t xml:space="preserve">- </w:t>
            </w:r>
            <w:r>
              <w:rPr>
                <w:rFonts w:hint="default" w:ascii="Times New Roman" w:hAnsi="Times New Roman" w:eastAsia="Times New Roman" w:cs="Times New Roman"/>
                <w:sz w:val="26"/>
                <w:szCs w:val="26"/>
              </w:rPr>
              <w:t>Bổ sung cụm từ "liên kết vùng" và "chế biến sâu" vào nội dung điều chỉnh để mở rộng quy mô chuỗi giá trị nông nghiệp thay vì chỉ dừng lại ở liên kết hộ cá thể.</w:t>
            </w:r>
          </w:p>
          <w:p w14:paraId="7C3ED5B7">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rPr>
            </w:pPr>
            <w:r>
              <w:rPr>
                <w:rFonts w:hint="default" w:ascii="Times New Roman" w:hAnsi="Times New Roman" w:cs="Times New Roman"/>
                <w:color w:val="auto"/>
                <w:sz w:val="26"/>
                <w:szCs w:val="26"/>
                <w:lang w:val="en-US"/>
              </w:rPr>
              <w:t>- B</w:t>
            </w:r>
            <w:r>
              <w:rPr>
                <w:rFonts w:hint="default" w:ascii="Times New Roman" w:hAnsi="Times New Roman" w:cs="Times New Roman"/>
                <w:color w:val="auto"/>
                <w:sz w:val="26"/>
                <w:szCs w:val="26"/>
              </w:rPr>
              <w:t xml:space="preserve">ổ sung cụm từ “trong sản xuất, chế biến và tiêu thụ sản phẩm nông nghiệp”. </w:t>
            </w:r>
          </w:p>
          <w:p w14:paraId="6BF15B8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B</w:t>
            </w:r>
            <w:r>
              <w:rPr>
                <w:rFonts w:hint="default" w:ascii="Times New Roman" w:hAnsi="Times New Roman" w:cs="Times New Roman"/>
                <w:sz w:val="26"/>
                <w:szCs w:val="26"/>
                <w:lang w:val="vi-VN"/>
              </w:rPr>
              <w:t xml:space="preserve">ổ sung cụm từ: </w:t>
            </w:r>
            <w:r>
              <w:rPr>
                <w:rFonts w:hint="default" w:ascii="Times New Roman" w:hAnsi="Times New Roman" w:cs="Times New Roman"/>
                <w:i/>
                <w:iCs/>
                <w:sz w:val="26"/>
                <w:szCs w:val="26"/>
                <w:lang w:val="vi-VN"/>
              </w:rPr>
              <w:t>“...truy xuất nguồn gốc, chuyển đổi số và phát triển thị trường tiêu thụ sản phẩm nông nghiệp”</w:t>
            </w:r>
            <w:r>
              <w:rPr>
                <w:rFonts w:hint="default" w:ascii="Times New Roman" w:hAnsi="Times New Roman" w:cs="Times New Roman"/>
                <w:sz w:val="26"/>
                <w:szCs w:val="26"/>
                <w:lang w:val="vi-VN"/>
              </w:rPr>
              <w:t>. Đây là nội dung quan trọng trong chuỗi giá trị hiện nay, đặc biệt đối với nông sản xuất khẩu.</w:t>
            </w:r>
          </w:p>
          <w:p w14:paraId="7914E0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Lý do: Đây là nội dung quan trọng trong chuỗi giá trị hiện nay, đặc biệt đối với nông sản xuất khẩu.</w:t>
            </w:r>
          </w:p>
        </w:tc>
        <w:tc>
          <w:tcPr>
            <w:tcW w:w="4567" w:type="dxa"/>
          </w:tcPr>
          <w:p w14:paraId="5166E0C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lang w:val="en-US"/>
              </w:rPr>
              <w:t>T</w:t>
            </w:r>
            <w:r>
              <w:rPr>
                <w:rFonts w:hint="default" w:ascii="Times New Roman" w:hAnsi="Times New Roman" w:eastAsia="Times New Roman" w:cs="Times New Roman"/>
                <w:sz w:val="26"/>
                <w:szCs w:val="26"/>
                <w:lang w:val="vi-VN"/>
              </w:rPr>
              <w:t xml:space="preserve">iếp thu các ý kiến góp ý về việc mở rộng phạm vi và nội dung liên kết theo hướng đa giá trị, ứng dụng công nghệ, </w:t>
            </w:r>
            <w:r>
              <w:rPr>
                <w:rFonts w:hint="default" w:ascii="Times New Roman" w:hAnsi="Times New Roman" w:eastAsia="Times New Roman" w:cs="Times New Roman"/>
                <w:sz w:val="26"/>
                <w:szCs w:val="26"/>
                <w:lang w:val="en-US"/>
              </w:rPr>
              <w:t>TXNG</w:t>
            </w:r>
            <w:r>
              <w:rPr>
                <w:rFonts w:hint="default" w:ascii="Times New Roman" w:hAnsi="Times New Roman" w:eastAsia="Times New Roman" w:cs="Times New Roman"/>
                <w:sz w:val="26"/>
                <w:szCs w:val="26"/>
                <w:lang w:val="vi-VN"/>
              </w:rPr>
              <w:t xml:space="preserve">, phát triển thị trường và nâng cao giá trị gia tăng. Tuy nhiên, để bảo đảm tính khái quát, ổn định và đúng kỹ thuật xây dựng văn bản quy phạm pháp luật, </w:t>
            </w:r>
            <w:r>
              <w:rPr>
                <w:rFonts w:hint="default" w:ascii="Times New Roman" w:hAnsi="Times New Roman" w:eastAsia="Times New Roman" w:cs="Times New Roman"/>
                <w:sz w:val="26"/>
                <w:szCs w:val="26"/>
                <w:lang w:val="en-US"/>
              </w:rPr>
              <w:t xml:space="preserve">dự thảo </w:t>
            </w:r>
            <w:r>
              <w:rPr>
                <w:rFonts w:hint="default" w:ascii="Times New Roman" w:hAnsi="Times New Roman" w:eastAsia="Times New Roman" w:cs="Times New Roman"/>
                <w:sz w:val="26"/>
                <w:szCs w:val="26"/>
                <w:lang w:val="vi-VN"/>
              </w:rPr>
              <w:t>Nghị định không quy định theo hướng liệt kê từng loại sản phẩm, dịch vụ hoặc công đoạn cụ thể trong Điều 1, Điều 2, Điều 3. Các nội dung góp ý đã được thể hiện phù hợp tại các điều khoản về nguyên tắc phát triển liên kết, tổ chức chuỗi giá trị, phát triển vùng nguyên liệu và chính sách hỗ trợ của Nhà nước.</w:t>
            </w:r>
          </w:p>
        </w:tc>
      </w:tr>
      <w:tr w14:paraId="4BA6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CEE7BC4">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540EC99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 xml:space="preserve">Điều 2. Đối tượng áp dụng </w:t>
            </w:r>
          </w:p>
        </w:tc>
        <w:tc>
          <w:tcPr>
            <w:tcW w:w="1898" w:type="dxa"/>
          </w:tcPr>
          <w:p w14:paraId="5659B42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4A61ECE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29CA297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0F26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F853043">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6399740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1104E36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UBND tỉnh Lâm Đồng;  </w:t>
            </w:r>
            <w:r>
              <w:rPr>
                <w:rFonts w:hint="default" w:ascii="Times New Roman" w:hAnsi="Times New Roman" w:cs="Times New Roman"/>
                <w:sz w:val="26"/>
                <w:szCs w:val="26"/>
              </w:rPr>
              <w:t>UBND thành phố Huế</w:t>
            </w:r>
          </w:p>
        </w:tc>
        <w:tc>
          <w:tcPr>
            <w:tcW w:w="5475" w:type="dxa"/>
          </w:tcPr>
          <w:p w14:paraId="5271118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pacing w:val="-2"/>
                <w:sz w:val="26"/>
                <w:szCs w:val="26"/>
              </w:rPr>
            </w:pPr>
            <w:r>
              <w:rPr>
                <w:rFonts w:hint="default" w:ascii="Times New Roman" w:hAnsi="Times New Roman" w:cs="Times New Roman"/>
                <w:spacing w:val="-2"/>
                <w:sz w:val="26"/>
                <w:szCs w:val="26"/>
              </w:rPr>
              <w:t>Đề nghị rà soát, phân nhóm đối tượng theo hướng tách bạch giữa</w:t>
            </w:r>
            <w:r>
              <w:rPr>
                <w:rFonts w:hint="default" w:ascii="Times New Roman" w:hAnsi="Times New Roman" w:cs="Times New Roman"/>
                <w:spacing w:val="-2"/>
                <w:sz w:val="26"/>
                <w:szCs w:val="26"/>
                <w:lang w:val="en-US"/>
              </w:rPr>
              <w:t xml:space="preserve"> </w:t>
            </w:r>
            <w:r>
              <w:rPr>
                <w:rFonts w:hint="default" w:ascii="Times New Roman" w:hAnsi="Times New Roman" w:cs="Times New Roman"/>
                <w:spacing w:val="-2"/>
                <w:sz w:val="26"/>
                <w:szCs w:val="26"/>
              </w:rPr>
              <w:t xml:space="preserve">nhóm chủ thể tham gia liên kết </w:t>
            </w:r>
            <w:r>
              <w:rPr>
                <w:rFonts w:hint="default" w:ascii="Times New Roman" w:hAnsi="Times New Roman" w:cs="Times New Roman"/>
                <w:spacing w:val="-2"/>
                <w:sz w:val="26"/>
                <w:szCs w:val="26"/>
                <w:lang w:val="en-US"/>
              </w:rPr>
              <w:t>và</w:t>
            </w:r>
            <w:r>
              <w:rPr>
                <w:rFonts w:hint="default" w:ascii="Times New Roman" w:hAnsi="Times New Roman" w:cs="Times New Roman"/>
                <w:spacing w:val="-2"/>
                <w:sz w:val="26"/>
                <w:szCs w:val="26"/>
              </w:rPr>
              <w:t xml:space="preserve"> nhóm cơ quan quản lý nhà nước. Việc phân định rõ ràng sẽ góp phần nâng cao tính minh bạch và thuận lợi trong tổ chức thực hiện. </w:t>
            </w:r>
          </w:p>
          <w:p w14:paraId="0395668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b w:val="0"/>
                <w:bCs w:val="0"/>
                <w:kern w:val="0"/>
                <w:sz w:val="26"/>
                <w:szCs w:val="26"/>
                <w14:ligatures w14:val="none"/>
              </w:rPr>
              <w:t xml:space="preserve">Lý do: </w:t>
            </w:r>
            <w:r>
              <w:rPr>
                <w:rFonts w:hint="default" w:ascii="Times New Roman" w:hAnsi="Times New Roman" w:eastAsia="Times New Roman" w:cs="Times New Roman"/>
                <w:kern w:val="0"/>
                <w:sz w:val="26"/>
                <w:szCs w:val="26"/>
                <w14:ligatures w14:val="none"/>
              </w:rPr>
              <w:t>Bảo đảm tính minh bạch, thống nhất trong áp dụng pháp luật; hạn chế phát sinh cách hiểu khác nhau giữa các địa phương; đồng thời tạo cơ sở rõ ràng cho việc xác định đối tượng được hỗ trợ và tổ chức thực hiện chính sách.</w:t>
            </w:r>
          </w:p>
        </w:tc>
        <w:tc>
          <w:tcPr>
            <w:tcW w:w="4567" w:type="dxa"/>
          </w:tcPr>
          <w:p w14:paraId="158AF6A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Dự thảo đã</w:t>
            </w:r>
            <w:r>
              <w:rPr>
                <w:rFonts w:hint="default" w:ascii="Times New Roman" w:hAnsi="Times New Roman" w:cs="Times New Roman"/>
                <w:sz w:val="26"/>
                <w:szCs w:val="26"/>
                <w:lang w:val="vi-VN"/>
              </w:rPr>
              <w:t xml:space="preserve"> quy định đối tượng áp dụng bao gồm cả chủ thể tham gia chuỗi giá trị và cơ quan quản lý nhà nước nhằm bảo đảm tính đầy đủ của phạm vi điều chỉnh; trong khi trách nhiệm, quyền hạn của cơ quan quản lý nhà nước đã được quy định riêng tại Chương V về tổ chức thực hiện.</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Việc tách thành các nhóm đối tượng không làm thay đổi bản chất áp dụng của Nghị định, đồng thời có thể dẫn đến trùng lặp với các quy định về trách nhiệm thực hiện ở các chương sau.</w:t>
            </w:r>
          </w:p>
        </w:tc>
      </w:tr>
      <w:tr w14:paraId="0126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44E7D9D">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6235D97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1. Hợp tác xã, liên hiệp hợp tác xã hoạt động trong lĩnh vực nông nghiệp</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(sau đây gọi chung là: Hợp tác xã).</w:t>
            </w:r>
          </w:p>
        </w:tc>
        <w:tc>
          <w:tcPr>
            <w:tcW w:w="1898" w:type="dxa"/>
          </w:tcPr>
          <w:p w14:paraId="46E44D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tỉnh Lào Cai</w:t>
            </w:r>
          </w:p>
        </w:tc>
        <w:tc>
          <w:tcPr>
            <w:tcW w:w="5475" w:type="dxa"/>
          </w:tcPr>
          <w:p w14:paraId="3F7077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pacing w:val="-2"/>
                <w:sz w:val="26"/>
                <w:szCs w:val="26"/>
                <w:lang w:val="vi-VN"/>
              </w:rPr>
            </w:pPr>
            <w:r>
              <w:rPr>
                <w:rFonts w:hint="default" w:ascii="Times New Roman" w:hAnsi="Times New Roman" w:cs="Times New Roman"/>
                <w:sz w:val="26"/>
                <w:szCs w:val="26"/>
                <w:lang w:val="vi-VN"/>
              </w:rPr>
              <w:t>T</w:t>
            </w:r>
            <w:r>
              <w:rPr>
                <w:rFonts w:hint="default" w:ascii="Times New Roman" w:hAnsi="Times New Roman" w:cs="Times New Roman"/>
                <w:sz w:val="26"/>
                <w:szCs w:val="26"/>
              </w:rPr>
              <w:t>heo quy định tại khoản 7 và khoản 8 Điều 4 Luật Hợp tác xã năm 2023, "Hợp tác xã" và "Liên hiệp hợp tác xã" là hai loại hình tổ chức có bản chất, quy mô và điều kiện thành lập khác nhau (Liên hiệp hợp tác xã phải do ít nhất 03 Hợp tác xã thành lập). Việc gọi gộp chung sẽ gây nhầm lẫn về chủ thể áp dụng, nhất là khi triển khai các định mức ưu đãi, hỗ trợ khác nhau cho từng quy mô tổ chức. Do đó đề nghị cơ quan soạn thảo bỏ đoạn " (sau đây gọi chung là: Hợp tác xã)" tại khoản 1 và giữ nguyên cách gọi đầy đủ "Hợp tác xã, Liên hiệp Hợp tác xã" trong toàn bộ văn bản dự thảo cho phù hợp</w:t>
            </w:r>
          </w:p>
        </w:tc>
        <w:tc>
          <w:tcPr>
            <w:tcW w:w="4567" w:type="dxa"/>
          </w:tcPr>
          <w:p w14:paraId="589257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cần thiết. Luật Hợp tác xã 17/2023/QH15 điều chỉnh các đối tượng: tổ hợp tác, hợp tác xã, liên hiệp hợp tác xã nhưng vẫn gọi chung là Luật HTX. Việc gọi chung hợp tác xã, liên hiệp hợp tác xã, tổ hợp tác là “hợp tác xã” là kỹ thuật lập pháp thông dụng nhằm rút gọn câu chữ, tránh lặp lại thuật ngữ nhiều lần trong văn bản,không làm thay đổi địa vị pháp lý, bản chất hay điều kiện thành lập của từng loại hình theo quy định của Luật HTX năm 2023.</w:t>
            </w:r>
          </w:p>
        </w:tc>
      </w:tr>
      <w:tr w14:paraId="25CB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FC79E2E">
            <w:pPr>
              <w:pStyle w:val="36"/>
              <w:keepNext w:val="0"/>
              <w:keepLines w:val="0"/>
              <w:pageBreakBefore w:val="0"/>
              <w:kinsoku/>
              <w:wordWrap/>
              <w:overflowPunct/>
              <w:topLinePunct w:val="0"/>
              <w:bidi w:val="0"/>
              <w:snapToGrid/>
              <w:spacing w:beforeAutospacing="0" w:after="0" w:afterAutospacing="0" w:line="240" w:lineRule="auto"/>
              <w:ind w:left="527"/>
              <w:contextualSpacing w:val="0"/>
              <w:jc w:val="both"/>
              <w:textAlignment w:val="auto"/>
              <w:rPr>
                <w:rFonts w:hint="default" w:ascii="Times New Roman" w:hAnsi="Times New Roman" w:cs="Times New Roman"/>
                <w:sz w:val="26"/>
                <w:szCs w:val="26"/>
                <w:lang w:val="vi-VN"/>
              </w:rPr>
            </w:pPr>
          </w:p>
        </w:tc>
        <w:tc>
          <w:tcPr>
            <w:tcW w:w="2646" w:type="dxa"/>
          </w:tcPr>
          <w:p w14:paraId="380C1B5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2.</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Doanh nghiệp tham gia sản xuất, chế biến, tiêu thụ sản phẩm nông nghiệp</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 xml:space="preserve">(sau đây gọi chung là: </w:t>
            </w:r>
            <w:r>
              <w:rPr>
                <w:rFonts w:hint="default" w:ascii="Times New Roman" w:hAnsi="Times New Roman" w:eastAsia="Times New Roman" w:cs="Times New Roman"/>
                <w:sz w:val="26"/>
                <w:szCs w:val="26"/>
              </w:rPr>
              <w:t>Doanh nghiệp</w:t>
            </w:r>
            <w:r>
              <w:rPr>
                <w:rFonts w:hint="default" w:ascii="Times New Roman" w:hAnsi="Times New Roman" w:eastAsia="Times New Roman" w:cs="Times New Roman"/>
                <w:sz w:val="26"/>
                <w:szCs w:val="26"/>
                <w:lang w:val="vi-VN"/>
              </w:rPr>
              <w:t>).</w:t>
            </w:r>
          </w:p>
        </w:tc>
        <w:tc>
          <w:tcPr>
            <w:tcW w:w="1898" w:type="dxa"/>
          </w:tcPr>
          <w:p w14:paraId="438176C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tỉnh</w:t>
            </w:r>
            <w:r>
              <w:rPr>
                <w:rFonts w:hint="default" w:ascii="Times New Roman" w:hAnsi="Times New Roman" w:cs="Times New Roman"/>
                <w:sz w:val="26"/>
                <w:szCs w:val="26"/>
                <w:lang w:val="en-US"/>
              </w:rPr>
              <w:t xml:space="preserve">, TP: </w:t>
            </w:r>
            <w:r>
              <w:rPr>
                <w:rFonts w:hint="default" w:ascii="Times New Roman" w:hAnsi="Times New Roman" w:cs="Times New Roman"/>
                <w:sz w:val="26"/>
                <w:szCs w:val="26"/>
                <w:lang w:val="vi-VN"/>
              </w:rPr>
              <w:t xml:space="preserve"> Cà Mau</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TP Hồ Chí Minh</w:t>
            </w:r>
          </w:p>
        </w:tc>
        <w:tc>
          <w:tcPr>
            <w:tcW w:w="5475" w:type="dxa"/>
          </w:tcPr>
          <w:p w14:paraId="21DD2A4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làm rõ phạm vi áp dụng đối với “doanh nghiệp”, xác định có bao gồm doanh nghiệp có vốn đầu tư nước ngoài hay không; đồng thời đề nghị sửa nội dung thành “doanh nghiệp tham gia sản xuất, sơ chế, chế biến, tiêu thụ sản phẩm nông nghiệp...” để bao quát đầy đủ các công đoạn trong chuỗi giá trị.</w:t>
            </w:r>
          </w:p>
          <w:p w14:paraId="58B7780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pacing w:val="3"/>
                <w:sz w:val="26"/>
                <w:szCs w:val="26"/>
                <w:shd w:val="clear" w:color="auto" w:fill="E5F1FF"/>
              </w:rPr>
            </w:pPr>
            <w:r>
              <w:rPr>
                <w:rFonts w:hint="default" w:ascii="Times New Roman" w:hAnsi="Times New Roman" w:cs="Times New Roman"/>
                <w:sz w:val="26"/>
                <w:szCs w:val="26"/>
                <w:lang w:val="vi-VN" w:eastAsia="ja-JP"/>
              </w:rPr>
              <w:t>Lý do: Theo quy định của Luật Doanh nghiệp, khái niệm doanh nghiệp bao gồm nhiều loại hình khác nhau và không phân biệt theo nguồn vốn trong nước hay nước ngoài. Tuy nhiên, đối với một số chính sách hỗ trợ sử dụng ngân sách nhà nước trong lĩnh vực nông nghiệp, việc áp dụng đối với doanh nghiệp có vốn đầu tư nước ngoài có thể liên quan đến điều kiện tiếp cận thị trường, chính sách đầu tư và các cam kết quốc tế. Do đó, đề nghị quy định rõ để bảo đảm thống nhất trong áp dụng và tránh phát sinh cách hiểu khác nhau giữa các địa phương trong quá trình thực hiện.</w:t>
            </w:r>
          </w:p>
        </w:tc>
        <w:tc>
          <w:tcPr>
            <w:tcW w:w="4567" w:type="dxa"/>
          </w:tcPr>
          <w:p w14:paraId="1B6F7E6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Luật Doanh nghiệp không phân biệt nguồn vốn trong nước hay nước ngoài. Doanh nghiệp có vốn đầu tư nước ngoài nếu đáp ứng điều kiện đầu tư, tiếp cận thị trường và quy định pháp luật có liên quan trong lĩnh vực nông nghiệp thì thuộc phạm vi áp dụng của Nghị định như các doanh nghiệp khác. Việc tiếp cận chính sách hỗ trợ sử dụng ngân sách nhà nước sẽ thực hiện theo quy định của pháp luật về đầu tư, ngân sách nhà nước, điều ước quốc tế và các quy định pháp luật có liên quan trong từng trường hợp cụ thể. Do vậy, không cần quy định riêng về doanh nghiệp FDI trong Điều 2, tránh phát sinh cách hiểu rằng đây là một nhóm đối tượng độc lập hoặc có cơ chế áp dụng riêng ngoài hệ thống pháp luật hiện hành.</w:t>
            </w:r>
          </w:p>
          <w:p w14:paraId="118491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bổ sung cụm từ “sơ chế” vừa sửa thành như sau: “Doanh nghiệp tham gia sản xuất, sơ chế, chế biến, tiêu thụ sản phẩm nông nghiệp (sau đây gọi chung là: Doanh nghiệp).”</w:t>
            </w:r>
          </w:p>
        </w:tc>
      </w:tr>
      <w:tr w14:paraId="0C51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DCA86BF">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5DA0474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3.</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 xml:space="preserve">Hộ nông dân, trang trại, tổ hợp tác. </w:t>
            </w:r>
          </w:p>
        </w:tc>
        <w:tc>
          <w:tcPr>
            <w:tcW w:w="1898" w:type="dxa"/>
          </w:tcPr>
          <w:p w14:paraId="002D1D4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Bộ Tư pháp</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Liên minh HTX Việt Nam;</w:t>
            </w:r>
          </w:p>
          <w:p w14:paraId="05B41FF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 xml:space="preserve">UBND tỉnh Lâm Đồng;  </w:t>
            </w:r>
            <w:r>
              <w:rPr>
                <w:rFonts w:hint="default" w:ascii="Times New Roman" w:hAnsi="Times New Roman" w:cs="Times New Roman"/>
                <w:sz w:val="26"/>
                <w:szCs w:val="26"/>
              </w:rPr>
              <w:t>UBND thành phố Huế</w:t>
            </w:r>
            <w:r>
              <w:rPr>
                <w:rFonts w:hint="default" w:ascii="Times New Roman" w:hAnsi="Times New Roman" w:cs="Times New Roman"/>
                <w:sz w:val="26"/>
                <w:szCs w:val="26"/>
                <w:lang w:val="en-US"/>
              </w:rPr>
              <w:t>;</w:t>
            </w:r>
          </w:p>
          <w:p w14:paraId="68DBF67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Sở Nông nghiệp và Môi trường tỉnh Lào Cai</w:t>
            </w:r>
            <w:r>
              <w:rPr>
                <w:rFonts w:hint="default" w:ascii="Times New Roman" w:hAnsi="Times New Roman" w:cs="Times New Roman"/>
                <w:sz w:val="26"/>
                <w:szCs w:val="26"/>
                <w:lang w:val="en-US"/>
              </w:rPr>
              <w:t>.</w:t>
            </w:r>
          </w:p>
        </w:tc>
        <w:tc>
          <w:tcPr>
            <w:tcW w:w="5475" w:type="dxa"/>
          </w:tcPr>
          <w:p w14:paraId="108BA31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Nghị định quy định đối tượng áp dụng gồm: “Hộ nông dân, trang trại...”. Tuy nhiên, qua rà soát các quy định pháp luật chuyên ngành, hiện nay chưa có khái niệm</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địa vị pháp lý cụ thể về hộ nông dân và trang trại. Tại điểm c khoản 2 Điều 30 Luật Hợp tác xã năm 2023, quy định các chủ thể không có tư cách pháp nhân tham gia vào tổ chức kinh tế tập thể sử dụng thuật ngữ "Hộ gia đình, tổ hợp tác, tổ chức khác... chỉnh lý cụm từ "Hộ nông dân" thành "Hộ gia đình" cho phù hợp, khả thi, đồng bộ, thống nhất với hệ thống pháp luật.</w:t>
            </w:r>
          </w:p>
          <w:p w14:paraId="12D5000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pacing w:val="-2"/>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pacing w:val="-2"/>
                <w:sz w:val="26"/>
                <w:szCs w:val="26"/>
              </w:rPr>
              <w:t>Cần làm rõ tiêu chí xác định "Trang trại" và "Hộ nông dân" đủ điều kiện tham gia (ví dụ: quy mô diện tích hoặc chứng nhận GAP) để làm cơ sở áp dụng các mức hỗ trợ khác nhau</w:t>
            </w:r>
          </w:p>
          <w:p w14:paraId="598B147C">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xml:space="preserve">- Bổ sung: </w:t>
            </w:r>
            <w:r>
              <w:rPr>
                <w:rFonts w:hint="default" w:ascii="Times New Roman" w:hAnsi="Times New Roman" w:cs="Times New Roman"/>
                <w:color w:val="auto"/>
                <w:sz w:val="26"/>
                <w:szCs w:val="26"/>
              </w:rPr>
              <w:t xml:space="preserve">thành viên hợp tác xã, thành viên liên hiệp hợp tác xã, tổ chức đại diện của người sản xuất. </w:t>
            </w:r>
            <w:r>
              <w:rPr>
                <w:rFonts w:hint="default" w:ascii="Times New Roman" w:hAnsi="Times New Roman" w:cs="Times New Roman"/>
                <w:color w:val="auto"/>
                <w:sz w:val="26"/>
                <w:szCs w:val="26"/>
                <w:lang w:val="en-US"/>
              </w:rPr>
              <w:t xml:space="preserve">Lý do: </w:t>
            </w:r>
            <w:r>
              <w:rPr>
                <w:rFonts w:hint="default" w:ascii="Times New Roman" w:hAnsi="Times New Roman" w:cs="Times New Roman"/>
                <w:color w:val="auto"/>
                <w:sz w:val="26"/>
                <w:szCs w:val="26"/>
              </w:rPr>
              <w:t xml:space="preserve">Người trực tiếp sản xuất trong nhiều mô hình liên kết là thành viên </w:t>
            </w:r>
            <w:r>
              <w:rPr>
                <w:rFonts w:hint="default" w:ascii="Times New Roman" w:hAnsi="Times New Roman" w:cs="Times New Roman"/>
                <w:color w:val="auto"/>
                <w:sz w:val="26"/>
                <w:szCs w:val="26"/>
                <w:lang w:val="en-US"/>
              </w:rPr>
              <w:t>HTX</w:t>
            </w:r>
            <w:r>
              <w:rPr>
                <w:rFonts w:hint="default" w:ascii="Times New Roman" w:hAnsi="Times New Roman" w:cs="Times New Roman"/>
                <w:color w:val="auto"/>
                <w:sz w:val="26"/>
                <w:szCs w:val="26"/>
              </w:rPr>
              <w:t xml:space="preserve">; cần quy định rõ để tránh cách hiểu khác nhau về chủ thể tham gia và thụ hưởng chính sách. </w:t>
            </w:r>
          </w:p>
        </w:tc>
        <w:tc>
          <w:tcPr>
            <w:tcW w:w="4567" w:type="dxa"/>
          </w:tcPr>
          <w:p w14:paraId="479DD0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và chỉnh sửa như sau: “</w:t>
            </w:r>
            <w:r>
              <w:rPr>
                <w:rFonts w:hint="default" w:ascii="Times New Roman" w:hAnsi="Times New Roman" w:eastAsia="Times New Roman" w:cs="Times New Roman"/>
                <w:b w:val="0"/>
                <w:bCs w:val="0"/>
                <w:color w:val="auto"/>
                <w:sz w:val="26"/>
                <w:szCs w:val="26"/>
                <w:lang w:val="vi-VN"/>
              </w:rPr>
              <w:t xml:space="preserve">Hộ </w:t>
            </w:r>
            <w:r>
              <w:rPr>
                <w:rFonts w:hint="default" w:ascii="Times New Roman" w:hAnsi="Times New Roman" w:eastAsia="Times New Roman" w:cs="Times New Roman"/>
                <w:b w:val="0"/>
                <w:bCs w:val="0"/>
                <w:color w:val="auto"/>
                <w:sz w:val="26"/>
                <w:szCs w:val="26"/>
                <w:lang w:val="en-US"/>
              </w:rPr>
              <w:t>gia đình</w:t>
            </w:r>
            <w:r>
              <w:rPr>
                <w:rFonts w:hint="default" w:ascii="Times New Roman" w:hAnsi="Times New Roman" w:eastAsia="Times New Roman" w:cs="Times New Roman"/>
                <w:b w:val="0"/>
                <w:bCs w:val="0"/>
                <w:color w:val="auto"/>
                <w:sz w:val="26"/>
                <w:szCs w:val="26"/>
                <w:lang w:val="vi-VN"/>
              </w:rPr>
              <w:t xml:space="preserve">, </w:t>
            </w:r>
            <w:r>
              <w:rPr>
                <w:rFonts w:hint="default" w:ascii="Times New Roman" w:hAnsi="Times New Roman" w:eastAsia="Times New Roman" w:cs="Times New Roman"/>
                <w:b w:val="0"/>
                <w:bCs w:val="0"/>
                <w:color w:val="auto"/>
                <w:sz w:val="26"/>
                <w:szCs w:val="26"/>
                <w:lang w:val="en-US"/>
              </w:rPr>
              <w:t xml:space="preserve">chủ </w:t>
            </w:r>
            <w:r>
              <w:rPr>
                <w:rFonts w:hint="default" w:ascii="Times New Roman" w:hAnsi="Times New Roman" w:eastAsia="Times New Roman" w:cs="Times New Roman"/>
                <w:b w:val="0"/>
                <w:bCs w:val="0"/>
                <w:color w:val="auto"/>
                <w:sz w:val="26"/>
                <w:szCs w:val="26"/>
                <w:lang w:val="vi-VN"/>
              </w:rPr>
              <w:t>trang trại</w:t>
            </w:r>
            <w:r>
              <w:rPr>
                <w:rFonts w:hint="default" w:ascii="Times New Roman" w:hAnsi="Times New Roman" w:eastAsia="Times New Roman" w:cs="Times New Roman"/>
                <w:b w:val="0"/>
                <w:bCs w:val="0"/>
                <w:color w:val="auto"/>
                <w:sz w:val="26"/>
                <w:szCs w:val="26"/>
                <w:lang w:val="en-US"/>
              </w:rPr>
              <w:t>, thành viên hợp tác xã</w:t>
            </w:r>
            <w:r>
              <w:rPr>
                <w:rFonts w:hint="default" w:ascii="Times New Roman" w:hAnsi="Times New Roman" w:cs="Times New Roman"/>
                <w:sz w:val="26"/>
                <w:szCs w:val="26"/>
                <w:lang w:val="en-US"/>
              </w:rPr>
              <w:t>”.</w:t>
            </w:r>
          </w:p>
          <w:p w14:paraId="50E8725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Nghị định không phải văn bản quy định điều kiện kinh doanh hoặc điều kiện tham gia liên kết của hộ nông dân, trang trại. Việc quy định tiêu chí cứng như quy mô diện tích, sản lượng hoặc chứng nhận GAP làm điều kiện tham gia có thể thu hẹp đối tượng tham gia liên kết, không phù hợp với thực tiễn đa dạng ngành hàng, vùng miền và chủ trương khuyến khích nông dân, trang trại từng bước tham gia chuỗi giá trị. Ngoài ra, yêu cầu về GAP, tiêu chuẩn chất lượng, TXNG đã được quy định là nội dung cam kết hoặc yêu cầu theo từng chuỗi giá trị, từng thị trường tiêu thụ và từng kế hoạch liên kết cụ thể, không nên quy định như điều kiện tiên quyết áp dụng chung cho mọi hộ, trang trại nhằm bảo đảm tính linh hoạt và khả thi trong tổ chức thực hiện.</w:t>
            </w:r>
          </w:p>
        </w:tc>
      </w:tr>
      <w:tr w14:paraId="3B6E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15CE034E">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restart"/>
          </w:tcPr>
          <w:p w14:paraId="1B618B8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eastAsia="Times New Roman" w:cs="Times New Roman"/>
                <w:sz w:val="26"/>
                <w:szCs w:val="26"/>
                <w:lang w:val="vi-VN"/>
              </w:rPr>
              <w:t>4.</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Tổ chức, cá nhân cung cấp dịch vụ đầu vào, logistics, tài chính, khoa học công nghệ và các dịch vụ khác trong chuỗi giá trị</w:t>
            </w:r>
            <w:r>
              <w:rPr>
                <w:rFonts w:hint="default" w:ascii="Times New Roman" w:hAnsi="Times New Roman" w:eastAsia="Times New Roman" w:cs="Times New Roman"/>
                <w:sz w:val="26"/>
                <w:szCs w:val="26"/>
              </w:rPr>
              <w:t xml:space="preserve"> nông nghiệp</w:t>
            </w:r>
            <w:r>
              <w:rPr>
                <w:rFonts w:hint="default" w:ascii="Times New Roman" w:hAnsi="Times New Roman" w:eastAsia="Times New Roman" w:cs="Times New Roman"/>
                <w:sz w:val="26"/>
                <w:szCs w:val="26"/>
                <w:lang w:val="vi-VN"/>
              </w:rPr>
              <w:t>.</w:t>
            </w:r>
          </w:p>
        </w:tc>
        <w:tc>
          <w:tcPr>
            <w:tcW w:w="1898" w:type="dxa"/>
            <w:shd w:val="clear" w:color="auto" w:fill="auto"/>
            <w:vAlign w:val="top"/>
          </w:tcPr>
          <w:p w14:paraId="27E06D0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w:t>
            </w:r>
            <w:r>
              <w:rPr>
                <w:rFonts w:hint="default" w:ascii="Times New Roman" w:hAnsi="Times New Roman" w:cs="Times New Roman"/>
                <w:sz w:val="26"/>
                <w:szCs w:val="26"/>
                <w:lang w:val="en-US"/>
              </w:rPr>
              <w:t xml:space="preserve"> các tỉnh, TP:</w:t>
            </w:r>
            <w:r>
              <w:rPr>
                <w:rFonts w:hint="default" w:ascii="Times New Roman" w:hAnsi="Times New Roman" w:cs="Times New Roman"/>
                <w:sz w:val="26"/>
                <w:szCs w:val="26"/>
                <w:lang w:val="vi-VN"/>
              </w:rPr>
              <w:t xml:space="preserve"> TP</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Hồ Chí Minh; Quảng Ninh;</w:t>
            </w:r>
            <w:r>
              <w:rPr>
                <w:rFonts w:hint="default" w:ascii="Times New Roman" w:hAnsi="Times New Roman" w:cs="Times New Roman"/>
                <w:sz w:val="26"/>
                <w:szCs w:val="26"/>
              </w:rPr>
              <w:t xml:space="preserve"> </w:t>
            </w:r>
          </w:p>
          <w:p w14:paraId="2603ABF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Bộ Dân tộc và Tôn giáo</w:t>
            </w:r>
            <w:r>
              <w:rPr>
                <w:rFonts w:hint="default" w:ascii="Times New Roman" w:hAnsi="Times New Roman" w:cs="Times New Roman"/>
                <w:sz w:val="26"/>
                <w:szCs w:val="26"/>
                <w:lang w:val="en-US"/>
              </w:rPr>
              <w:t>;</w:t>
            </w:r>
          </w:p>
          <w:p w14:paraId="2E490CD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 xml:space="preserve">Trung tâm </w:t>
            </w:r>
            <w:r>
              <w:rPr>
                <w:rFonts w:hint="default" w:ascii="Times New Roman" w:hAnsi="Times New Roman" w:cs="Times New Roman"/>
                <w:sz w:val="26"/>
                <w:szCs w:val="26"/>
                <w:lang w:val="en-US"/>
              </w:rPr>
              <w:t>K</w:t>
            </w:r>
            <w:r>
              <w:rPr>
                <w:rFonts w:hint="default" w:ascii="Times New Roman" w:hAnsi="Times New Roman" w:cs="Times New Roman"/>
                <w:sz w:val="26"/>
                <w:szCs w:val="26"/>
              </w:rPr>
              <w:t xml:space="preserve">huyến nông </w:t>
            </w:r>
            <w:r>
              <w:rPr>
                <w:rFonts w:hint="default" w:ascii="Times New Roman" w:hAnsi="Times New Roman" w:cs="Times New Roman"/>
                <w:sz w:val="26"/>
                <w:szCs w:val="26"/>
                <w:lang w:val="en-US"/>
              </w:rPr>
              <w:t>Q</w:t>
            </w:r>
            <w:r>
              <w:rPr>
                <w:rFonts w:hint="default" w:ascii="Times New Roman" w:hAnsi="Times New Roman" w:cs="Times New Roman"/>
                <w:sz w:val="26"/>
                <w:szCs w:val="26"/>
              </w:rPr>
              <w:t>uốc gia</w:t>
            </w:r>
          </w:p>
        </w:tc>
        <w:tc>
          <w:tcPr>
            <w:tcW w:w="5475" w:type="dxa"/>
            <w:shd w:val="clear" w:color="auto" w:fill="auto"/>
            <w:vAlign w:val="top"/>
          </w:tcPr>
          <w:p w14:paraId="341F5BC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eastAsia="ja-JP"/>
              </w:rPr>
              <w:t>B</w:t>
            </w:r>
            <w:r>
              <w:rPr>
                <w:rFonts w:hint="default" w:ascii="Times New Roman" w:hAnsi="Times New Roman" w:cs="Times New Roman"/>
                <w:sz w:val="26"/>
                <w:szCs w:val="26"/>
                <w:lang w:val="vi-VN" w:eastAsia="ja-JP"/>
              </w:rPr>
              <w:t xml:space="preserve">ổ sung đối tượng áp dụng: </w:t>
            </w:r>
            <w:r>
              <w:rPr>
                <w:rFonts w:hint="default" w:ascii="Times New Roman" w:hAnsi="Times New Roman" w:eastAsia="Times New Roman" w:cs="Times New Roman"/>
                <w:kern w:val="0"/>
                <w:sz w:val="26"/>
                <w:szCs w:val="26"/>
                <w14:ligatures w14:val="none"/>
              </w:rPr>
              <w:t xml:space="preserve">Hộ kinh doanh; Nhóm cộng đồng hợp tác; Tổ chức tín dụng; Tổ chức bảo hiểm; Tổ chức khoa học công nghệ; </w:t>
            </w:r>
            <w:r>
              <w:rPr>
                <w:rFonts w:hint="default" w:ascii="Times New Roman" w:hAnsi="Times New Roman" w:cs="Times New Roman"/>
                <w:sz w:val="26"/>
                <w:szCs w:val="26"/>
                <w:lang w:val="vi-VN"/>
              </w:rPr>
              <w:t>các tổ chức chứng nhận tiêu chuẩn (VietGAP, GlobalGAP,….).</w:t>
            </w:r>
          </w:p>
          <w:p w14:paraId="0A649A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b w:val="0"/>
                <w:bCs w:val="0"/>
                <w:kern w:val="0"/>
                <w:sz w:val="26"/>
                <w:szCs w:val="26"/>
                <w14:ligatures w14:val="none"/>
              </w:rPr>
              <w:t>Lý do:</w:t>
            </w:r>
            <w:r>
              <w:rPr>
                <w:rFonts w:hint="default" w:ascii="Times New Roman" w:hAnsi="Times New Roman" w:eastAsia="Times New Roman" w:cs="Times New Roman"/>
                <w:b w:val="0"/>
                <w:bCs w:val="0"/>
                <w:kern w:val="0"/>
                <w:sz w:val="26"/>
                <w:szCs w:val="26"/>
                <w:lang w:val="en-US"/>
                <w14:ligatures w14:val="none"/>
              </w:rPr>
              <w:t xml:space="preserve"> </w:t>
            </w:r>
            <w:r>
              <w:rPr>
                <w:rFonts w:hint="default" w:ascii="Times New Roman" w:hAnsi="Times New Roman" w:eastAsia="Times New Roman" w:cs="Times New Roman"/>
                <w:kern w:val="0"/>
                <w:sz w:val="26"/>
                <w:szCs w:val="26"/>
                <w14:ligatures w14:val="none"/>
              </w:rPr>
              <w:t xml:space="preserve">Theo Nghị định số 168/2025/NĐ-CP, hộ gia đình sản xuất nông, lâm, ngư nghiệp vẫn có quyền thành lập hộ kinh doanh và trên thực tế nhiều hộ kinh doanh đang tham gia thu mua, tiêu thụ, liên kết sản xuất nông sản; </w:t>
            </w:r>
          </w:p>
          <w:p w14:paraId="0AEB432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kern w:val="0"/>
                <w:sz w:val="26"/>
                <w:szCs w:val="26"/>
                <w14:ligatures w14:val="none"/>
              </w:rPr>
              <w:t xml:space="preserve">Việc bổ sung “nhóm cộng đồng hợp tác” nhằm bảo đảm thống nhất với Nghị định số 358/2025/NĐ-CP về cơ chế quản lý, tổ chức thực hiện các chương trình mục tiêu quốc gia; </w:t>
            </w:r>
          </w:p>
          <w:p w14:paraId="3CDEF17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lang w:val="en-US" w:eastAsia="en-US" w:bidi="ar-SA"/>
                <w14:ligatures w14:val="none"/>
              </w:rPr>
            </w:pPr>
            <w:r>
              <w:rPr>
                <w:rFonts w:hint="default" w:ascii="Times New Roman" w:hAnsi="Times New Roman" w:eastAsia="Times New Roman" w:cs="Times New Roman"/>
                <w:kern w:val="0"/>
                <w:sz w:val="26"/>
                <w:szCs w:val="26"/>
                <w14:ligatures w14:val="none"/>
              </w:rPr>
              <w:t>Các tổ chức tín dụng, bảo hiểm, khoa học công nghệ là các chủ thể hỗ trợ quan trọng trong chuỗi liên kết nhưng chưa được xác định rõ trong dự thảo.</w:t>
            </w:r>
          </w:p>
        </w:tc>
        <w:tc>
          <w:tcPr>
            <w:tcW w:w="4567" w:type="dxa"/>
            <w:shd w:val="clear" w:color="auto" w:fill="auto"/>
            <w:vAlign w:val="top"/>
          </w:tcPr>
          <w:p w14:paraId="5FF0FEE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en-US"/>
              </w:rPr>
              <w:t>D</w:t>
            </w:r>
            <w:r>
              <w:rPr>
                <w:rFonts w:hint="default" w:ascii="Times New Roman" w:hAnsi="Times New Roman" w:cs="Times New Roman"/>
                <w:sz w:val="26"/>
                <w:szCs w:val="26"/>
                <w:lang w:val="vi-VN"/>
              </w:rPr>
              <w:t xml:space="preserve">ự thảo Nghị định quy định đối tượng áp dụng theo nhóm chức năng tham gia chuỗi giá trị thay vì liệt kê chi tiết từng loại hình tổ chức. Theo đó, hộ kinh doanh, tổ chức tín dụng, bảo hiểm, tổ chức </w:t>
            </w:r>
            <w:r>
              <w:rPr>
                <w:rFonts w:hint="default" w:ascii="Times New Roman" w:hAnsi="Times New Roman" w:cs="Times New Roman"/>
                <w:sz w:val="26"/>
                <w:szCs w:val="26"/>
                <w:lang w:val="en-US"/>
              </w:rPr>
              <w:t>KHCN</w:t>
            </w:r>
            <w:r>
              <w:rPr>
                <w:rFonts w:hint="default" w:ascii="Times New Roman" w:hAnsi="Times New Roman" w:cs="Times New Roman"/>
                <w:sz w:val="26"/>
                <w:szCs w:val="26"/>
                <w:lang w:val="vi-VN"/>
              </w:rPr>
              <w:t xml:space="preserve">, </w:t>
            </w:r>
            <w:r>
              <w:rPr>
                <w:rFonts w:hint="default" w:ascii="Times New Roman" w:hAnsi="Times New Roman" w:eastAsia="Times New Roman" w:cs="Times New Roman"/>
                <w:kern w:val="0"/>
                <w:sz w:val="26"/>
                <w:szCs w:val="26"/>
                <w14:ligatures w14:val="none"/>
              </w:rPr>
              <w:t>“nhóm cộng đồng hợp tác”</w:t>
            </w:r>
            <w:r>
              <w:rPr>
                <w:rFonts w:hint="default" w:ascii="Times New Roman" w:hAnsi="Times New Roman" w:eastAsia="Times New Roman" w:cs="Times New Roman"/>
                <w:kern w:val="0"/>
                <w:sz w:val="26"/>
                <w:szCs w:val="26"/>
                <w:lang w:val="en-US"/>
                <w14:ligatures w14:val="none"/>
              </w:rPr>
              <w:t xml:space="preserve">, </w:t>
            </w:r>
            <w:r>
              <w:rPr>
                <w:rFonts w:hint="default" w:ascii="Times New Roman" w:hAnsi="Times New Roman" w:cs="Times New Roman"/>
                <w:sz w:val="26"/>
                <w:szCs w:val="26"/>
                <w:lang w:val="vi-VN"/>
              </w:rPr>
              <w:t xml:space="preserve">tổ chức chứng nhận tiêu chuẩn đã thuộc phạm vi điều chỉnh của nhóm </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Tổ chức, cá nhân cung cấp dịch vụ đầu vào, logistics, tài chính, khoa học công nghệ và các dịch vụ khác trong chuỗi giá trị nông nghiệp</w:t>
            </w:r>
            <w:r>
              <w:rPr>
                <w:rFonts w:hint="default" w:ascii="Times New Roman" w:hAnsi="Times New Roman" w:cs="Times New Roman"/>
                <w:sz w:val="26"/>
                <w:szCs w:val="26"/>
                <w:lang w:val="en-US"/>
              </w:rPr>
              <w:t>” và nhóm “</w:t>
            </w:r>
            <w:r>
              <w:rPr>
                <w:rFonts w:hint="default" w:ascii="Times New Roman" w:hAnsi="Times New Roman" w:eastAsia="Times New Roman" w:cs="Times New Roman"/>
                <w:b w:val="0"/>
                <w:bCs w:val="0"/>
                <w:color w:val="auto"/>
                <w:sz w:val="26"/>
                <w:szCs w:val="26"/>
                <w:lang w:val="vi-VN"/>
              </w:rPr>
              <w:t>các tổ chức, cá nhân có liên quan</w:t>
            </w:r>
            <w:r>
              <w:rPr>
                <w:rFonts w:hint="default" w:ascii="Times New Roman" w:hAnsi="Times New Roman" w:eastAsia="Times New Roman" w:cs="Times New Roman"/>
                <w:b w:val="0"/>
                <w:bCs w:val="0"/>
                <w:color w:val="auto"/>
                <w:sz w:val="26"/>
                <w:szCs w:val="26"/>
                <w:lang w:val="en-US"/>
              </w:rPr>
              <w:t xml:space="preserve"> trong việc thực hiện Nghị định này</w:t>
            </w:r>
            <w:r>
              <w:rPr>
                <w:rFonts w:hint="default" w:ascii="Times New Roman" w:hAnsi="Times New Roman" w:cs="Times New Roman"/>
                <w:sz w:val="26"/>
                <w:szCs w:val="26"/>
                <w:lang w:val="en-US"/>
              </w:rPr>
              <w:t>”.</w:t>
            </w:r>
          </w:p>
        </w:tc>
      </w:tr>
      <w:tr w14:paraId="0358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7C56106">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continue"/>
          </w:tcPr>
          <w:p w14:paraId="7D9AC19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0FC8E2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PGS.TS Chu Tiến Quang; Cục Lâm nghiệp và Kiểm lâm</w:t>
            </w:r>
          </w:p>
        </w:tc>
        <w:tc>
          <w:tcPr>
            <w:tcW w:w="5475" w:type="dxa"/>
            <w:shd w:val="clear" w:color="auto" w:fill="auto"/>
            <w:vAlign w:val="top"/>
          </w:tcPr>
          <w:p w14:paraId="753B055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eastAsia="ja-JP"/>
              </w:rPr>
            </w:pPr>
            <w:r>
              <w:rPr>
                <w:rFonts w:hint="default" w:ascii="Times New Roman" w:hAnsi="Times New Roman" w:cs="Times New Roman"/>
                <w:sz w:val="26"/>
                <w:szCs w:val="26"/>
                <w:lang w:eastAsia="ja-JP"/>
              </w:rPr>
              <w:t>Mở rộng chủ thể tham gia chuỗi, không giới hạn chỉ doanh nghiệp hoặc HTX trực tiếp sản xuất nông nghiệp.</w:t>
            </w:r>
          </w:p>
        </w:tc>
        <w:tc>
          <w:tcPr>
            <w:tcW w:w="4567" w:type="dxa"/>
            <w:shd w:val="clear" w:color="auto" w:fill="auto"/>
            <w:vAlign w:val="top"/>
          </w:tcPr>
          <w:p w14:paraId="23E1BC3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Các chủ thể tham gia liên kết ngoài doanh nghiệp, HTX còn có các bên tham gia khác, bao gồm các tổ chức, cá nhân cung cấp dịch vụ đầu vào, logistics, tài chính, khoa học công nghệ và các dịch vụ khác trong chuỗi giá trị nông nghiệp.</w:t>
            </w:r>
          </w:p>
        </w:tc>
      </w:tr>
      <w:tr w14:paraId="374C2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6AD20D7">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continue"/>
          </w:tcPr>
          <w:p w14:paraId="1E7DF31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36B2227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Ngân hàng Nhà nước</w:t>
            </w:r>
          </w:p>
        </w:tc>
        <w:tc>
          <w:tcPr>
            <w:tcW w:w="5475" w:type="dxa"/>
            <w:shd w:val="clear" w:color="auto" w:fill="auto"/>
            <w:vAlign w:val="top"/>
          </w:tcPr>
          <w:p w14:paraId="7A3CEAC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Đề nghị quy định làm rõ đối tượng “</w:t>
            </w:r>
            <w:r>
              <w:rPr>
                <w:rFonts w:hint="default" w:ascii="Times New Roman" w:hAnsi="Times New Roman" w:eastAsia="Times New Roman" w:cs="Times New Roman"/>
                <w:sz w:val="26"/>
                <w:szCs w:val="26"/>
                <w:lang w:val="vi-VN"/>
              </w:rPr>
              <w:t>Tổ chức, cá nhân cung cấp dịch vụ tài chính</w:t>
            </w:r>
            <w:r>
              <w:rPr>
                <w:rFonts w:hint="default" w:ascii="Times New Roman" w:hAnsi="Times New Roman" w:eastAsia="Times New Roman" w:cs="Times New Roman"/>
                <w:sz w:val="26"/>
                <w:szCs w:val="26"/>
              </w:rPr>
              <w:t>” bao gồm các đối tượng nào, đồng thời tại dự thảo nghị định cũng chưa có chính sách quy định đối với các đối tượng này.</w:t>
            </w:r>
          </w:p>
        </w:tc>
        <w:tc>
          <w:tcPr>
            <w:tcW w:w="4567" w:type="dxa"/>
          </w:tcPr>
          <w:p w14:paraId="3C1450C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w:t>
            </w:r>
            <w:r>
              <w:rPr>
                <w:rFonts w:hint="default" w:ascii="Times New Roman" w:hAnsi="Times New Roman" w:cs="Times New Roman"/>
                <w:sz w:val="26"/>
                <w:szCs w:val="26"/>
                <w:lang w:val="vi-VN"/>
              </w:rPr>
              <w:t>iếp thu ý kiến theo hướng làm rõ nội hàm đối tượng, nhưng không bổ sung thành nhóm đối tượng hoặc chính sách hỗ trợ riêng trong Nghị định.</w:t>
            </w:r>
            <w:r>
              <w:rPr>
                <w:rFonts w:hint="default" w:ascii="Times New Roman" w:hAnsi="Times New Roman" w:cs="Times New Roman"/>
                <w:sz w:val="26"/>
                <w:szCs w:val="26"/>
                <w:lang w:val="en-US"/>
              </w:rPr>
              <w:t xml:space="preserve"> Để bảo đảm rõ ràng và thống nhất trong áp dụng, dự thảo chỉnh sửa khoản 4 Điều 2 như sau: “Tổ chức, cá nhân cung cấp dịch vụ đầu vào, logistics, tài chính, tín dụng, bảo hiểm, khoa học công nghệ và các dịch vụ hỗ trợ khác trong liên kết chuỗi giá trị nông nghiệp bền vững.”</w:t>
            </w:r>
          </w:p>
        </w:tc>
      </w:tr>
      <w:tr w14:paraId="751B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EE91F82">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1C9EE29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Điều 3. Giải thích từ ngữ</w:t>
            </w:r>
          </w:p>
        </w:tc>
        <w:tc>
          <w:tcPr>
            <w:tcW w:w="1898" w:type="dxa"/>
          </w:tcPr>
          <w:p w14:paraId="16685C8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3CB2896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284EE1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048A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0B05296">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67D1399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7067A71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Viện Chiến lược, Chính sách nông nghiệp và môi trường</w:t>
            </w:r>
          </w:p>
        </w:tc>
        <w:tc>
          <w:tcPr>
            <w:tcW w:w="5475" w:type="dxa"/>
            <w:shd w:val="clear" w:color="auto" w:fill="auto"/>
            <w:vAlign w:val="top"/>
          </w:tcPr>
          <w:p w14:paraId="5E780A9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 xml:space="preserve">Điều 3 cần bổ sung khái niệm nông nghiệp bao gồm các lĩnh vực trồng trọt chăn nuôi thủy sản lâm nghiệp và nghề </w:t>
            </w:r>
            <w:r>
              <w:rPr>
                <w:rFonts w:hint="default" w:ascii="Times New Roman" w:hAnsi="Times New Roman" w:cs="Times New Roman"/>
                <w:sz w:val="26"/>
                <w:szCs w:val="26"/>
                <w:lang w:val="vi-VN"/>
              </w:rPr>
              <w:t>muối;</w:t>
            </w:r>
            <w:r>
              <w:rPr>
                <w:rFonts w:hint="default" w:ascii="Times New Roman" w:hAnsi="Times New Roman" w:cs="Times New Roman"/>
                <w:sz w:val="26"/>
                <w:szCs w:val="26"/>
              </w:rPr>
              <w:t xml:space="preserve"> </w:t>
            </w:r>
          </w:p>
        </w:tc>
        <w:tc>
          <w:tcPr>
            <w:tcW w:w="4567" w:type="dxa"/>
            <w:shd w:val="clear" w:color="auto" w:fill="auto"/>
            <w:vAlign w:val="top"/>
          </w:tcPr>
          <w:p w14:paraId="69236D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tiếp thu do phạm vi ngành, lĩnh vực của nông nghiệp đã được xác định tương đối rõ trong hệ thống pháp luật chuyên ngành và chức năng quản lý nhà nước của Bộ Nông nghiệp và Môi trường, bao gồm trồng trọt, chăn nuôi, lâm nghiệp, thủy sản, diêm nghiệp và các lĩnh vực liên quan. Việc bổ sung một khái niệm riêng về “nông nghiệp” tại Điều 3 là không cần thiết, trùng lặp với pháp luật chuyên ngành, không làm thay đổi phạm vi điều chỉnh hoặc đối tượng áp dụng của Nghị định.</w:t>
            </w:r>
          </w:p>
        </w:tc>
      </w:tr>
      <w:tr w14:paraId="2ACB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B1AE8D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E20ED1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1. </w:t>
            </w:r>
            <w:r>
              <w:rPr>
                <w:rFonts w:hint="default" w:ascii="Times New Roman" w:hAnsi="Times New Roman" w:eastAsia="Times New Roman" w:cs="Times New Roman"/>
                <w:sz w:val="26"/>
                <w:szCs w:val="26"/>
                <w:lang w:val="vi-VN"/>
              </w:rPr>
              <w:t>Chuỗi giá trị nông nghiệp là hệ thống các hoạt động liên kết giữa các chủ thể quy định tại khoản 1, 2, 3, 4 Điều 2 Nghị định này</w:t>
            </w:r>
            <w:r>
              <w:rPr>
                <w:rFonts w:hint="default" w:ascii="Times New Roman" w:hAnsi="Times New Roman" w:eastAsia="Times New Roman" w:cs="Times New Roman"/>
                <w:sz w:val="26"/>
                <w:szCs w:val="26"/>
              </w:rPr>
              <w:t xml:space="preserve"> (sau đây gọi chung là </w:t>
            </w:r>
            <w:r>
              <w:rPr>
                <w:rFonts w:hint="default" w:ascii="Times New Roman" w:hAnsi="Times New Roman" w:eastAsia="Times New Roman" w:cs="Times New Roman"/>
                <w:sz w:val="26"/>
                <w:szCs w:val="26"/>
                <w:lang w:eastAsia="vi-VN"/>
              </w:rPr>
              <w:t xml:space="preserve">các chủ thể hoặc các bên) </w:t>
            </w:r>
            <w:r>
              <w:rPr>
                <w:rFonts w:hint="default" w:ascii="Times New Roman" w:hAnsi="Times New Roman" w:eastAsia="Times New Roman" w:cs="Times New Roman"/>
                <w:sz w:val="26"/>
                <w:szCs w:val="26"/>
                <w:lang w:val="vi-VN"/>
              </w:rPr>
              <w:t xml:space="preserve">từ cung ứng đầu vào, sản xuất, thu hoạch, chế biến đến tiêu thụ sản phẩm nhằm tạo giá trị gia tăng và nâng cao hiệu quả kinh tế. </w:t>
            </w:r>
          </w:p>
        </w:tc>
        <w:tc>
          <w:tcPr>
            <w:tcW w:w="1898" w:type="dxa"/>
          </w:tcPr>
          <w:p w14:paraId="1CDCB09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 xml:space="preserve">Bộ Tư pháp; </w:t>
            </w:r>
            <w:r>
              <w:rPr>
                <w:rFonts w:hint="default" w:ascii="Times New Roman" w:hAnsi="Times New Roman" w:cs="Times New Roman"/>
                <w:sz w:val="26"/>
                <w:szCs w:val="26"/>
                <w:lang w:val="en-US"/>
              </w:rPr>
              <w:t xml:space="preserve">Bộ Công thương; Liên minh HTX Việt Nam; </w:t>
            </w:r>
            <w:r>
              <w:rPr>
                <w:rFonts w:hint="default" w:ascii="Times New Roman" w:hAnsi="Times New Roman" w:cs="Times New Roman"/>
                <w:sz w:val="26"/>
                <w:szCs w:val="26"/>
                <w:lang w:val="vi-VN"/>
              </w:rPr>
              <w:t xml:space="preserve">Văn phòng Điều phối nông thôn mới Trung ương; Trung tâm </w:t>
            </w: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 xml:space="preserve">huyến nông </w:t>
            </w:r>
            <w:r>
              <w:rPr>
                <w:rFonts w:hint="default" w:ascii="Times New Roman" w:hAnsi="Times New Roman" w:cs="Times New Roman"/>
                <w:sz w:val="26"/>
                <w:szCs w:val="26"/>
                <w:lang w:val="en-US"/>
              </w:rPr>
              <w:t>Q</w:t>
            </w:r>
            <w:r>
              <w:rPr>
                <w:rFonts w:hint="default" w:ascii="Times New Roman" w:hAnsi="Times New Roman" w:cs="Times New Roman"/>
                <w:sz w:val="26"/>
                <w:szCs w:val="26"/>
                <w:lang w:val="vi-VN"/>
              </w:rPr>
              <w:t>uốc gia</w:t>
            </w:r>
            <w:r>
              <w:rPr>
                <w:rFonts w:hint="default" w:ascii="Times New Roman" w:hAnsi="Times New Roman" w:cs="Times New Roman"/>
                <w:sz w:val="26"/>
                <w:szCs w:val="26"/>
                <w:lang w:val="en-US"/>
              </w:rPr>
              <w:t>;</w:t>
            </w:r>
          </w:p>
          <w:p w14:paraId="24E66F0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 xml:space="preserve">Vụ Kế hoạch </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Tài chính</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Sở Nông nghiệp và Môi trường tỉnh</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An Giang</w:t>
            </w: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Hưng Yên.</w:t>
            </w:r>
          </w:p>
        </w:tc>
        <w:tc>
          <w:tcPr>
            <w:tcW w:w="5475" w:type="dxa"/>
          </w:tcPr>
          <w:p w14:paraId="72A3AA3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Cơ quan chủ trì soạn thảo cần rà soát các từ ngữ tại Điều 3 dự thảo Nghị định để làm rõ, thống nhất cách hiểu và áp dụng pháp luật. Ví dụ: Khoản 1 Điều 3 dự thảo Nghị định giải thích “Chuỗi giá trị nông nghiệp là hệ thống các hoạt động liên kết giữa các chủ thể... "; trong khi đó, khoản 3 Điều 3 dự thảo Nghị định giải thích “Liên kết chuỗi giá trị là sự hợp tác, liên kết có tổ chức giữa các chủ thể trong chuỗi giá trị...”. Các quy định này còn chống lấn, chưa thể hiện rõ sự khác biệt về phạm vi và nội hàm giữa các khái niệm; chưa thể hiện rõ cách hiểu về “liên kết chuỗi giá trị nông nghiệp bền vững” như tên gọi của dự thảo Nghị định.</w:t>
            </w:r>
          </w:p>
          <w:p w14:paraId="10E2A97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Đề nghị bổ sung, làm rõ các yếu tố “bền vũng” trong việc thúc đẩy liên kết chuỗi giá trị nông nghiệp tại dự thảo Nghị định này.</w:t>
            </w:r>
          </w:p>
          <w:p w14:paraId="53BC014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Về khái niệm và phạm vi điều chỉnh: Dự thảo Nghị định đưa ra khái niệm “chuỗi giá trị nông nghiệp” và xác định đây là cơ sở để triển khai các chính sách hỗ trợ. Tuy nhiên, khái niệm này hiện chưa được quy định thống nhất trong hệ thống pháp luật. Cần nghiên cứu quy định rõ hơn nội hàm của khái niệm này trong Nghị định để bảo đảm thống nhất trong quá trình áp dụng, tránh phát sinh cách hiểu khác nhau giữa các địa phương và các chủ thể tham gia chuỗi. Đồng thời, làm rõ mối quan hệ giữa khái niệm “liên kết sản xuất - tiêu thụ” theo Nghị định số 98/2018/NĐ-CP với cách tiếp cận “chuỗi giá trị nông nghiệp” trong dự thảo Nghị định để bảo đảm tính kế thừa và thống nhất trong chính sách.</w:t>
            </w:r>
          </w:p>
          <w:p w14:paraId="5DF199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Bổ sung cụm từ: “Dịch vụ du lịch nông nghiệp - nông thôn (du lịch sinh thái, du lịch cộng đồng, du lịch trải nghiệm nông nghiệp-nông thôn…)” </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từ “bảo quản”</w:t>
            </w:r>
            <w:r>
              <w:rPr>
                <w:rFonts w:hint="default" w:ascii="Times New Roman" w:hAnsi="Times New Roman" w:cs="Times New Roman"/>
                <w:sz w:val="26"/>
                <w:szCs w:val="26"/>
                <w:lang w:val="vi-VN"/>
              </w:rPr>
              <w:t>.</w:t>
            </w:r>
          </w:p>
          <w:p w14:paraId="125D905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Đ</w:t>
            </w:r>
            <w:r>
              <w:rPr>
                <w:rFonts w:hint="default" w:ascii="Times New Roman" w:hAnsi="Times New Roman" w:cs="Times New Roman"/>
                <w:sz w:val="26"/>
                <w:szCs w:val="26"/>
              </w:rPr>
              <w:t>ề nghị cơ quan soạn thảo nghiên cứu bổ sung khái niệm “chuyển đổi xanh” để thống nhất trong quá trình áp dụng và tổ chức thực hiện</w:t>
            </w:r>
            <w:r>
              <w:rPr>
                <w:rFonts w:hint="default" w:ascii="Times New Roman" w:hAnsi="Times New Roman" w:cs="Times New Roman"/>
                <w:sz w:val="26"/>
                <w:szCs w:val="26"/>
                <w:lang w:val="en-US"/>
              </w:rPr>
              <w:t>. Tại Điều 3 “Giải thích từ ngữ”, đề nghị cơ quan soạn thảo nghiên cứu bổ sung khái niệm “chuyển đổi xanh” để thống nhất trong quá trình áp dụng và tổ chức thực hiện. Lý do: Đây là nội dung mới được đưa vào dự thảo và được đề cập tại nhiều chính sách hỗ trợ, tuy nhiên hiện chưa có giải thích cụ thể trong văn bản. Việc bổ sung khái niệm sẽ tạo cơ sở pháp lý rõ ràng cho các cơ quan quản lý nhà nước, địa phương và các chủ thể tham gia liên kết trong việc xác định nội dung đầu tư, lựa chọn mô hình, xây dựng dự án và triển khai các hoạt động liên quan đến sử dụng tài nguyên hiệu quả, giảm phát thải, kinh tế tuần hoàn, ứng dụng năng lượng tái tạo và sản xuất nông nghiệp bền vững.</w:t>
            </w:r>
          </w:p>
          <w:p w14:paraId="7599CE9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Đề nghị bổ sung các cụm từ “thu mua”, “sơ chế”, “bảo quản”  để đảm bảo bao quát đầy đủ chuỗi giá trị.</w:t>
            </w:r>
          </w:p>
        </w:tc>
        <w:tc>
          <w:tcPr>
            <w:tcW w:w="4567" w:type="dxa"/>
          </w:tcPr>
          <w:p w14:paraId="5E1974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“Chuỗi giá trị nông nghiệp” là khái niệm mang tính cấu trúc, hệ thống, phản ánh toàn bộ các công đoạn và tác nhân từ cung ứng đầu vào, sản xuất, thu hoạch, sơ chế, chế biến đến tiêu thụ sản phẩm nông nghiệp. Còn “Liên kết chuỗi giá trị nông nghiệp” là khái niệm mang tính quan hệ, tổ chức thực hiện, thể hiện sự hợp tác có cam kết giữa các chủ thể trong chuỗi giá trị thông qua hợp đồng hoặc thỏa thuận nhằm tổ chức sản xuất, chia sẻ lợi ích và rủi ro.</w:t>
            </w:r>
          </w:p>
          <w:p w14:paraId="34E5DFD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Để tránh chồng lấn và làm rõ hơn tên gọi của Nghị định, dự thảo đã tiếp thu, chỉnh sửa khoản 3 Điều 3 như sau: “Liên kết chuỗi giá trị nông nghiệp bền vững là sự hợp tác có tổ chức giữa các chủ thể trong chuỗi giá trị nông nghiệp thông qua hợp đồng hoặc thỏa thuận bằng văn bản nhằm tổ chức sản xuất, sơ chế, chế biến, tiêu thụ sản phẩm nông nghiệp theo tiêu chuẩn chất lượng, truy xuất nguồn gốc, hài hòa lợi ích, chia sẻ rủi ro và phát triển ổn định, lâu dài.”. Qua đó làm rõ hơn yếu tố “bền vững” theo tên gọi của Nghị định.</w:t>
            </w:r>
          </w:p>
          <w:p w14:paraId="294BE57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Về mối quan hệ với Nghị định số 98/2018/NĐ-CP. Nghị định kế thừa và phát triển từ cách tiếp cận “liên kết sản xuất - tiêu thụ” của Nghị định số 98/2018/NĐ-CP, đồng thời mở rộng sang cách tiếp cận “liên kết chuỗi giá trị nông nghiệp”, bao quát đầy đủ hơn các khâu từ cung ứng đầu vào, tổ chức sản xuất, vùng nguyên liệu, sơ chế, chế biến, logistics, truy xuất nguồn gốc và tiêu thụ; đồng thời tăng cường cơ chế chia sẻ lợi ích, rủi ro, ứng dụng khoa học công nghệ, chuyển đổi số và phát triển bền vững. Ban soạn thảo xin tiếp thu và làm rõ trong Tờ trình Chính phủ.</w:t>
            </w:r>
          </w:p>
          <w:p w14:paraId="0009F55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Nội dung về “chuyển đổi xanh” đã được thể hiện xuyên suốt tại các điều khoản về nguyên tắc phát triển liên kết, phát triển vùng nguyên liệu, ứng dụng khoa học công nghệ, kinh tế tuần hoàn, giảm phát thải, sử dụng hiệu quả tài nguyên và thích ứng biến đổi khí hậu; do đó không nhất thiết phải giải thích thành một khái niệm độc lập tại Điều 3.</w:t>
            </w:r>
          </w:p>
          <w:p w14:paraId="4154C2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Về kiến nghị bổ sung các cụm từ “thu mua”, “sơ chế”, “bảo quản”: Trong thực tiễn không phải mọi chuỗi giá trị nông nghiệp đều bắt buộc phải đầy đủ tất cả các công đoạn; tùy theo ngành hàng, quy mô và phương thức tổ chức. Yêu cầu của Nghị định là bảo đảm sự liên kết ổn định từ khâu sản xuất đến tiêu thụ sản phẩm, không nhất thiết phải có đầy đủ mọi công đoạn trung gian. Do đó, việc quy định cứng, liệt kê đầy đủ tất cả các khâu làm hạn chế tính linh hoạt, không phù hợp với sự đa dạng của các mô hình chuỗi giá trị trong thực tiễn.</w:t>
            </w:r>
          </w:p>
        </w:tc>
      </w:tr>
      <w:tr w14:paraId="252C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54E450C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55FB393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2.</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Mua bán nông sản là hoạt động giao dịch thương mại giữa các bên nhằm chuyển giao quyền sở hữu sản phẩm nông nghiệp thông qua hợp đồng mua bán hoặc thỏa thuận dân sự, trong đó các bên không có sự ràng buộc về tổ chức sản xuất, tiêu chuẩn chất lượng đầu vào, kế hoạch sản lượng, truy xuất nguồn gốc hoặc cơ chế chia sẻ lợi ích, rủi ro trong toàn bộ quá trình sản xuất và tiêu thụ.</w:t>
            </w:r>
          </w:p>
        </w:tc>
        <w:tc>
          <w:tcPr>
            <w:tcW w:w="1898" w:type="dxa"/>
          </w:tcPr>
          <w:p w14:paraId="21CF77F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Bộ Công Thương; </w:t>
            </w:r>
            <w:r>
              <w:rPr>
                <w:rFonts w:hint="default" w:ascii="Times New Roman" w:hAnsi="Times New Roman" w:cs="Times New Roman"/>
                <w:sz w:val="26"/>
                <w:szCs w:val="26"/>
              </w:rPr>
              <w:t>Vụ Pháp chế</w:t>
            </w:r>
          </w:p>
        </w:tc>
        <w:tc>
          <w:tcPr>
            <w:tcW w:w="5475" w:type="dxa"/>
          </w:tcPr>
          <w:p w14:paraId="2F39BE9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xem xét về quy định giải thích từ ngữ đối với cụm từ “mua bán nông sản” vì cụm từ này không được nhắc lại trong dự thảo và cũng không có vai trò rõ ràng gắn với nội dung của Nghị định</w:t>
            </w:r>
            <w:r>
              <w:rPr>
                <w:rFonts w:hint="default" w:ascii="Times New Roman" w:hAnsi="Times New Roman" w:cs="Times New Roman"/>
                <w:sz w:val="26"/>
                <w:szCs w:val="26"/>
                <w:lang w:val="vi-VN"/>
              </w:rPr>
              <w:t xml:space="preserve"> và </w:t>
            </w:r>
            <w:r>
              <w:rPr>
                <w:rFonts w:hint="default" w:ascii="Times New Roman" w:hAnsi="Times New Roman" w:cs="Times New Roman"/>
                <w:sz w:val="26"/>
                <w:szCs w:val="26"/>
              </w:rPr>
              <w:t>chưa được dùng thống nhất khái niệm này trong dự thảo Nghị định như mua bán thông thường, mua bán sản phẩm nông nghiệp.</w:t>
            </w:r>
          </w:p>
        </w:tc>
        <w:tc>
          <w:tcPr>
            <w:tcW w:w="4567" w:type="dxa"/>
          </w:tcPr>
          <w:p w14:paraId="0263A40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V</w:t>
            </w:r>
            <w:r>
              <w:rPr>
                <w:rFonts w:hint="default" w:ascii="Times New Roman" w:hAnsi="Times New Roman" w:cs="Times New Roman"/>
                <w:sz w:val="26"/>
                <w:szCs w:val="26"/>
              </w:rPr>
              <w:t>iệc quy định khái niệm “mua bán nông sản” tại Điều 3 là cần thiết để phân biệt rõ giữa hoạt động mua bán thông thường với liên kết chuỗi giá trị nông nghiệp, làm cơ sở xác định đúng đối tượng, điều kiện áp dụng chính sách hỗ trợ của Nhà nước theo Nghị định.</w:t>
            </w:r>
          </w:p>
          <w:p w14:paraId="4FE9DEE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Cụm từ </w:t>
            </w:r>
            <w:r>
              <w:rPr>
                <w:rFonts w:hint="default" w:ascii="Times New Roman" w:hAnsi="Times New Roman" w:cs="Times New Roman"/>
                <w:sz w:val="26"/>
                <w:szCs w:val="26"/>
              </w:rPr>
              <w:t>“mua bán nông sản”</w:t>
            </w:r>
            <w:r>
              <w:rPr>
                <w:rFonts w:hint="default" w:ascii="Times New Roman" w:hAnsi="Times New Roman" w:cs="Times New Roman"/>
                <w:sz w:val="26"/>
                <w:szCs w:val="26"/>
                <w:lang w:val="en-US"/>
              </w:rPr>
              <w:t xml:space="preserve"> được lặp lại 03 lần trong dự thảo Nghị định (khoản 2 Điều 3, khoản 3 Điều 6 và khoản 3 Điều 10) để</w:t>
            </w:r>
            <w:r>
              <w:rPr>
                <w:rFonts w:hint="default" w:ascii="Times New Roman" w:hAnsi="Times New Roman" w:cs="Times New Roman"/>
                <w:sz w:val="26"/>
                <w:szCs w:val="26"/>
              </w:rPr>
              <w:t xml:space="preserve"> quy định về phân biệt hợp đồng liên kết với hợp đồng mua bán thông thường và nguyên tắc không áp dụng chính sách hỗ trợ đối với hoạt động mua bán sản phẩm nông nghiệp không gắn với tổ chức sản xuất và liên kết chuỗi giá trị.</w:t>
            </w:r>
          </w:p>
          <w:p w14:paraId="555126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w:t>
            </w:r>
            <w:r>
              <w:rPr>
                <w:rFonts w:hint="default" w:ascii="Times New Roman" w:hAnsi="Times New Roman" w:cs="Times New Roman"/>
                <w:sz w:val="26"/>
                <w:szCs w:val="26"/>
              </w:rPr>
              <w:t>in tiếp thu về mặt kỹ thuật thể hiện, theo hướng rà soát, thống nhất cách dùng thuật ngữ trong toàn bộ dự thảo (ví dụ: “mua bán nông sản”, “mua bán sản phẩm nông nghiệp”, “mua bán thông thường”) để bảo đảm thống nhất cách hiểu và áp dụng pháp luật.</w:t>
            </w:r>
          </w:p>
        </w:tc>
      </w:tr>
      <w:tr w14:paraId="5511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F6C90D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62FEA06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5D5BEC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Liên minh HTX Việt Nam</w:t>
            </w:r>
          </w:p>
        </w:tc>
        <w:tc>
          <w:tcPr>
            <w:tcW w:w="5475" w:type="dxa"/>
          </w:tcPr>
          <w:p w14:paraId="2A9E113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Dự thảo phân biệt “mua bán nông sản” với liên kết chuỗi giá trị và không áp dụng chính sách hỗ trợ đối với hoạt động mua bán thông thường. Đề nghị giữ định hướng phân biệt này, đồng thời rà soát thống nhất giữa khoản 2 Điều 3, khoản 3 Điều 6 và khoản 3 Điều 10</w:t>
            </w:r>
            <w:r>
              <w:rPr>
                <w:rFonts w:hint="default" w:ascii="Times New Roman" w:hAnsi="Times New Roman" w:cs="Times New Roman"/>
                <w:sz w:val="26"/>
                <w:szCs w:val="26"/>
                <w:lang w:val="en-US"/>
              </w:rPr>
              <w:t xml:space="preserve"> nhằm t</w:t>
            </w:r>
            <w:r>
              <w:rPr>
                <w:rFonts w:hint="default" w:ascii="Times New Roman" w:hAnsi="Times New Roman" w:cs="Times New Roman"/>
                <w:sz w:val="26"/>
                <w:szCs w:val="26"/>
              </w:rPr>
              <w:t xml:space="preserve">ránh tình trạng hợp thức hóa hợp đồng mua bán đơn thuần thành hợp đồng liên kết để hưởng chính sách hỗ trợ của Nhà nước. </w:t>
            </w:r>
          </w:p>
        </w:tc>
        <w:tc>
          <w:tcPr>
            <w:tcW w:w="4567" w:type="dxa"/>
          </w:tcPr>
          <w:p w14:paraId="0D06B31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Chỉnh sửa lại Khoản 3, Điều 6 như sau: “3. Phân biệt hợp đồng liên kết chuỗi giá trị nông nghiệp bền vững với hợp đồng mua bán sản phẩm nông nghiệp thông thường: Hợp đồng chỉ có nội dung mua bán sản phẩm nông nghiệp, không gắn với tổ chức sản xuất, tiêu chuẩn chất lượng, kế hoạch sản lượng hoặc cơ chế phối hợp trong chuỗi giá trị nông nghiệp theo quy định tại Nghị định này, không được xác định là hợp đồng liên kết chuỗi giá trị nông nghiệp bền vững để áp dụng chính sách hỗ trợ của nhà nước theo theo quy định tại Nghị định này.”</w:t>
            </w:r>
          </w:p>
        </w:tc>
      </w:tr>
      <w:tr w14:paraId="27D8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711E411E">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20A355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3.</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Liên kết chuỗi giá trị là sự hợp tác</w:t>
            </w:r>
            <w:r>
              <w:rPr>
                <w:rFonts w:hint="default" w:ascii="Times New Roman" w:hAnsi="Times New Roman" w:eastAsia="Times New Roman" w:cs="Times New Roman"/>
                <w:sz w:val="26"/>
                <w:szCs w:val="26"/>
              </w:rPr>
              <w:t>, liên kết</w:t>
            </w:r>
            <w:r>
              <w:rPr>
                <w:rFonts w:hint="default" w:ascii="Times New Roman" w:hAnsi="Times New Roman" w:eastAsia="Times New Roman" w:cs="Times New Roman"/>
                <w:sz w:val="26"/>
                <w:szCs w:val="26"/>
                <w:lang w:val="vi-VN"/>
              </w:rPr>
              <w:t xml:space="preserve"> có tổ chức giữa các chủ thể trong chuỗi </w:t>
            </w:r>
            <w:r>
              <w:rPr>
                <w:rFonts w:hint="default" w:ascii="Times New Roman" w:hAnsi="Times New Roman" w:eastAsia="Times New Roman" w:cs="Times New Roman"/>
                <w:sz w:val="26"/>
                <w:szCs w:val="26"/>
              </w:rPr>
              <w:t xml:space="preserve">giá trị </w:t>
            </w:r>
            <w:r>
              <w:rPr>
                <w:rFonts w:hint="default" w:ascii="Times New Roman" w:hAnsi="Times New Roman" w:eastAsia="Times New Roman" w:cs="Times New Roman"/>
                <w:sz w:val="26"/>
                <w:szCs w:val="26"/>
                <w:lang w:val="vi-VN"/>
              </w:rPr>
              <w:t>thông qua hợp đồng hoặc thỏa thuận, có phân công rõ vai trò, trách nhiệm và cơ chế chia sẻ lợi ích, rủi ro. Liên kết chuỗi giá trị có tổ chức là hình thức liên kết đáp ứng đồng thời các yếu tố</w:t>
            </w:r>
            <w:r>
              <w:rPr>
                <w:rFonts w:hint="default" w:ascii="Times New Roman" w:hAnsi="Times New Roman" w:eastAsia="Times New Roman" w:cs="Times New Roman"/>
                <w:sz w:val="26"/>
                <w:szCs w:val="26"/>
              </w:rPr>
              <w:t xml:space="preserve"> sau</w:t>
            </w:r>
            <w:r>
              <w:rPr>
                <w:rFonts w:hint="default" w:ascii="Times New Roman" w:hAnsi="Times New Roman" w:eastAsia="Times New Roman" w:cs="Times New Roman"/>
                <w:sz w:val="26"/>
                <w:szCs w:val="26"/>
                <w:lang w:val="vi-VN"/>
              </w:rPr>
              <w:t>:</w:t>
            </w:r>
          </w:p>
          <w:p w14:paraId="33DB00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a) Có hợp đồng hoặc thỏa thuận ràng buộc trách nhiệm giữa các bên;</w:t>
            </w:r>
          </w:p>
          <w:p w14:paraId="488E46E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b) Có sự tham gia của ít nhất một chủ thể tổ chức sản xuất nông nghiệp (hợp tác xã, doanh nghiệp) trong điều phối chuỗi giá trị;</w:t>
            </w:r>
          </w:p>
          <w:p w14:paraId="056B21E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c) Có cam kết về tiêu chuẩn chất lượng, quy trình sản xuất hoặc truy xuất nguồn gốc;</w:t>
            </w:r>
          </w:p>
          <w:p w14:paraId="04D65AC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d) Có cơ chế phối hợp về kế hoạch sản xuất, sản lượng hoặc tiêu thụ sản phẩm nông nghiệp;</w:t>
            </w:r>
          </w:p>
          <w:p w14:paraId="30B522F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đ) Có thỏa thuận về phân chia lợi ích và chia sẻ rủi ro.</w:t>
            </w:r>
          </w:p>
        </w:tc>
        <w:tc>
          <w:tcPr>
            <w:tcW w:w="1898" w:type="dxa"/>
          </w:tcPr>
          <w:p w14:paraId="300C574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 xml:space="preserve">Bộ Công Thương; </w:t>
            </w:r>
            <w:r>
              <w:rPr>
                <w:rFonts w:hint="default" w:ascii="Times New Roman" w:hAnsi="Times New Roman" w:cs="Times New Roman"/>
                <w:sz w:val="26"/>
                <w:szCs w:val="26"/>
                <w:lang w:val="en-US"/>
              </w:rPr>
              <w:t xml:space="preserve">Liên minh HTX Việt Nam; </w:t>
            </w:r>
            <w:r>
              <w:rPr>
                <w:rFonts w:hint="default" w:ascii="Times New Roman" w:hAnsi="Times New Roman" w:cs="Times New Roman"/>
                <w:sz w:val="26"/>
                <w:szCs w:val="26"/>
                <w:lang w:val="vi-VN"/>
              </w:rPr>
              <w:t>Sở Nông nghiệp và Môi trường</w:t>
            </w:r>
            <w:r>
              <w:rPr>
                <w:rFonts w:hint="default" w:ascii="Times New Roman" w:hAnsi="Times New Roman" w:cs="Times New Roman"/>
                <w:sz w:val="26"/>
                <w:szCs w:val="26"/>
                <w:lang w:val="en-US"/>
              </w:rPr>
              <w:t xml:space="preserve"> các tỉnh, TP:</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TP</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Đà </w:t>
            </w:r>
            <w:r>
              <w:rPr>
                <w:rFonts w:hint="default" w:ascii="Times New Roman" w:hAnsi="Times New Roman" w:cs="Times New Roman"/>
                <w:sz w:val="26"/>
                <w:szCs w:val="26"/>
                <w:lang w:val="vi-VN"/>
              </w:rPr>
              <w:t>Nẵng</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 xml:space="preserve">Cà Mau, Ninh Bình; </w:t>
            </w:r>
            <w:r>
              <w:rPr>
                <w:rFonts w:hint="default" w:ascii="Times New Roman" w:hAnsi="Times New Roman" w:cs="Times New Roman"/>
                <w:sz w:val="26"/>
                <w:szCs w:val="26"/>
              </w:rPr>
              <w:t xml:space="preserve">Viện Chiến lược, Chính sách nông nghiệp và môi </w:t>
            </w:r>
            <w:r>
              <w:rPr>
                <w:rFonts w:hint="default" w:ascii="Times New Roman" w:hAnsi="Times New Roman" w:cs="Times New Roman"/>
                <w:sz w:val="26"/>
                <w:szCs w:val="26"/>
                <w:lang w:val="vi-VN"/>
              </w:rPr>
              <w:t xml:space="preserve">trường; </w:t>
            </w:r>
            <w:r>
              <w:rPr>
                <w:rFonts w:hint="default" w:ascii="Times New Roman" w:hAnsi="Times New Roman" w:cs="Times New Roman"/>
                <w:sz w:val="26"/>
                <w:szCs w:val="26"/>
              </w:rPr>
              <w:t xml:space="preserve">Vụ Pháp </w:t>
            </w:r>
            <w:r>
              <w:rPr>
                <w:rFonts w:hint="default" w:ascii="Times New Roman" w:hAnsi="Times New Roman" w:cs="Times New Roman"/>
                <w:sz w:val="26"/>
                <w:szCs w:val="26"/>
                <w:lang w:val="vi-VN"/>
              </w:rPr>
              <w:t>ch</w:t>
            </w:r>
            <w:r>
              <w:rPr>
                <w:rFonts w:hint="default" w:ascii="Times New Roman" w:hAnsi="Times New Roman" w:cs="Times New Roman"/>
                <w:sz w:val="26"/>
                <w:szCs w:val="26"/>
                <w:lang w:val="en-US"/>
              </w:rPr>
              <w:t>ế.</w:t>
            </w:r>
          </w:p>
        </w:tc>
        <w:tc>
          <w:tcPr>
            <w:tcW w:w="5475" w:type="dxa"/>
          </w:tcPr>
          <w:p w14:paraId="4123207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 xml:space="preserve"> </w:t>
            </w:r>
            <w:r>
              <w:rPr>
                <w:rFonts w:hint="default" w:ascii="Times New Roman" w:hAnsi="Times New Roman" w:eastAsia="Times New Roman" w:cs="Times New Roman"/>
                <w:sz w:val="26"/>
                <w:szCs w:val="26"/>
                <w:lang w:val="en-US"/>
              </w:rPr>
              <w:t>Đ</w:t>
            </w:r>
            <w:r>
              <w:rPr>
                <w:rFonts w:hint="default" w:ascii="Times New Roman" w:hAnsi="Times New Roman" w:eastAsia="Times New Roman" w:cs="Times New Roman"/>
                <w:sz w:val="26"/>
                <w:szCs w:val="26"/>
                <w:lang w:val="vi-VN"/>
              </w:rPr>
              <w:t xml:space="preserve">ề nghị quy định việc liên kết chuỗi giá trị nông nghiệp phải được thực hiện thông qua hợp đồng, không chỉ bằng thỏa thuận, nhằm bảo đảm tính pháp lý, tính ràng buộc và khả năng xử lý vi phạm theo quy định pháp luật Dân sự. </w:t>
            </w:r>
          </w:p>
          <w:p w14:paraId="7BA22C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 xml:space="preserve">- </w:t>
            </w:r>
            <w:r>
              <w:rPr>
                <w:rFonts w:hint="default" w:ascii="Times New Roman" w:hAnsi="Times New Roman" w:eastAsia="Times New Roman" w:cs="Times New Roman"/>
                <w:sz w:val="26"/>
                <w:szCs w:val="26"/>
                <w:lang w:val="en-US"/>
              </w:rPr>
              <w:t>Đ</w:t>
            </w:r>
            <w:r>
              <w:rPr>
                <w:rFonts w:hint="default" w:ascii="Times New Roman" w:hAnsi="Times New Roman" w:eastAsia="Times New Roman" w:cs="Times New Roman"/>
                <w:sz w:val="26"/>
                <w:szCs w:val="26"/>
                <w:lang w:val="vi-VN"/>
              </w:rPr>
              <w:t xml:space="preserve">ề nghị mở rộng theo hướng quy định “hợp đồng hoặc thỏa thuận bằng văn bản/có giá trị pháp lý” để vừa bảo đảm tính pháp lý, vừa phù hợp với thực tiễn triển khai các mô hình liên kết đa dạng. </w:t>
            </w:r>
          </w:p>
          <w:p w14:paraId="647DBD1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w:t>
            </w:r>
            <w:r>
              <w:rPr>
                <w:rFonts w:hint="default" w:ascii="Times New Roman" w:hAnsi="Times New Roman" w:eastAsia="Times New Roman" w:cs="Times New Roman"/>
                <w:sz w:val="26"/>
                <w:szCs w:val="26"/>
                <w:lang w:val="en-US"/>
              </w:rPr>
              <w:t xml:space="preserve"> </w:t>
            </w:r>
            <w:r>
              <w:rPr>
                <w:rFonts w:hint="default" w:ascii="Times New Roman" w:hAnsi="Times New Roman" w:eastAsia="Times New Roman" w:cs="Times New Roman"/>
                <w:sz w:val="26"/>
                <w:szCs w:val="26"/>
                <w:lang w:val="vi-VN"/>
              </w:rPr>
              <w:t>Đề nghị chỉnh sửa khái niệm theo hướng:</w:t>
            </w:r>
            <w:r>
              <w:rPr>
                <w:rFonts w:hint="default" w:ascii="Times New Roman" w:hAnsi="Times New Roman" w:eastAsia="Times New Roman" w:cs="Times New Roman"/>
                <w:sz w:val="26"/>
                <w:szCs w:val="26"/>
                <w:lang w:val="en-US"/>
              </w:rPr>
              <w:t xml:space="preserve"> </w:t>
            </w:r>
            <w:r>
              <w:rPr>
                <w:rFonts w:hint="default" w:ascii="Times New Roman" w:hAnsi="Times New Roman" w:eastAsia="Times New Roman" w:cs="Times New Roman"/>
                <w:sz w:val="26"/>
                <w:szCs w:val="26"/>
                <w:lang w:val="vi-VN"/>
              </w:rPr>
              <w:t>“Liên kết chuỗi giá trị nông nghiệp là hình thức hợp tác có tổ chức giữa các chủ thể trong chuỗi thông qua hợp đồng hoặc thỏa thuận bằng văn bản, có phân công rõ trách nhiệm, phối hợp sản xuất - tiêu thụ, bảo đảm tiêu chuẩn chất lượng và cơ chế chia sẻ lợi ích, rủi ro…”.</w:t>
            </w:r>
            <w:r>
              <w:rPr>
                <w:rFonts w:hint="default" w:ascii="Times New Roman" w:hAnsi="Times New Roman" w:eastAsia="Times New Roman" w:cs="Times New Roman"/>
                <w:sz w:val="26"/>
                <w:szCs w:val="26"/>
                <w:lang w:val="en-US"/>
              </w:rPr>
              <w:t xml:space="preserve"> </w:t>
            </w:r>
            <w:r>
              <w:rPr>
                <w:rFonts w:hint="default" w:ascii="Times New Roman" w:hAnsi="Times New Roman" w:eastAsia="Times New Roman" w:cs="Times New Roman"/>
                <w:sz w:val="26"/>
                <w:szCs w:val="26"/>
                <w:lang w:val="vi-VN"/>
              </w:rPr>
              <w:t xml:space="preserve">Lý do: hợp đồng thường chặt chẽ, đầy đủ điều khoản pháp lý hơn, mức độ ràng buộc cao hơn và đảm bảo thực hiện được chế tài xử lý khi các bên vi phạm hợp đồng nhằm bảo vệ quyền lợi cao nhất của các bên tham gia liên kết; đồng thời các nội dung còn lại của dự thảo Nghị định chủ yếu quy định về hợp đồng, không có bản thỏa thuận. </w:t>
            </w:r>
          </w:p>
        </w:tc>
        <w:tc>
          <w:tcPr>
            <w:tcW w:w="4567" w:type="dxa"/>
          </w:tcPr>
          <w:p w14:paraId="46CC54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T</w:t>
            </w:r>
            <w:r>
              <w:rPr>
                <w:rFonts w:hint="default" w:ascii="Times New Roman" w:hAnsi="Times New Roman" w:cs="Times New Roman"/>
                <w:sz w:val="26"/>
                <w:szCs w:val="26"/>
              </w:rPr>
              <w:t>heo quy định của pháp luật dân sự, thỏa thuận bằng văn bản giữa các bên vẫn có giá trị pháp lý và là căn cứ xác định quyền, nghĩa vụ, trách nhiệm khi có tranh chấp. Do đó, việc quy định theo hướng “hợp đồng hoặc thỏa thuận bằng văn bản” vừa bảo đảm cơ sở pháp lý, vừa phù hợp với tính đa dạng của các mô hình liên kết trong thực tiễn.</w:t>
            </w:r>
          </w:p>
          <w:p w14:paraId="6AAF17A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Tuy nhiên, không bổ sung cụm từ “có giá trị pháp lý”, do theo quy định của pháp luật dân sự và thương mại, hợp đồng hoặc thỏa thuận bằng văn bản hợp pháp đương nhiên có giá trị pháp lý.</w:t>
            </w:r>
          </w:p>
          <w:p w14:paraId="29096D0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Quy định “thỏa thuận về phân chia lợi ích và chia sẻ rủi ro” đã được thể hiện tại Điểm đ, Khoản 3, Điều 3 này của dự thảo Nghị định.</w:t>
            </w:r>
          </w:p>
        </w:tc>
      </w:tr>
      <w:tr w14:paraId="20B9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1F548E1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09DB11C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3444A8A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Viện Chiến lược, Chính sách nông nghiệp và môi </w:t>
            </w:r>
            <w:r>
              <w:rPr>
                <w:rFonts w:hint="default" w:ascii="Times New Roman" w:hAnsi="Times New Roman" w:cs="Times New Roman"/>
                <w:sz w:val="26"/>
                <w:szCs w:val="26"/>
                <w:lang w:val="vi-VN"/>
              </w:rPr>
              <w:t>trường</w:t>
            </w:r>
          </w:p>
        </w:tc>
        <w:tc>
          <w:tcPr>
            <w:tcW w:w="5475" w:type="dxa"/>
          </w:tcPr>
          <w:p w14:paraId="4905CC9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Về khái niệm “liên kết chuỗi giá trị”: Dự thảo quy định liên kết chuỗi giá trị có tổ chức phải đáp ứng đồng thời nhiều yếu tố. Cách thiết kế này giúp phân biệt liên kết thực chất với giao dịch mua bán đơn thuần, nhưng nếu quy định quá chặt có thể loại khỏi chính sách nhiều mô hình liên kết mới hình thành, liên kết theo mùa vụ, liên kết ngắn hạn hoặc liên kết do hợp tác xã nhỏ làm đầu mối. Đề nghị tách các yếu tố nhận diện thành hai nhóm: nhóm tiêu chí bắt buộc tối thiểu gồm hợp đồng hoặc thỏa thuận bằng văn bản, có phân công vai trò, có nội dung phổi hợp sản xuất - tiêu thụ; nhóm tiêu chí khuyến khích hoặc tiêu chí ưu tiên hỗ trợ gồm truy xuất nguồn gốc, tiêu chuẩn chất lượng, cơ chế chia sẻ rủi ro, dữ liệu chuỗi, giảm phát thải. Cách tiếp cận này giúp mở rộng “đầu vào chính sách” nhưng vẫn ưu tiên hỗ trợ các chuỗi có chất lượng cao.</w:t>
            </w:r>
          </w:p>
        </w:tc>
        <w:tc>
          <w:tcPr>
            <w:tcW w:w="4567" w:type="dxa"/>
          </w:tcPr>
          <w:p w14:paraId="569620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Tiếp thu và chỉnh sửa tại Khoản 3, Điều 3 dự thảo Nghị định và chia thành 02 nhóm gồm: </w:t>
            </w:r>
          </w:p>
          <w:p w14:paraId="2624E5D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a) Nhóm liên kết chuỗi giá trị nông nghiệp bền vững, có tổ chức.</w:t>
            </w:r>
          </w:p>
          <w:p w14:paraId="7E871EE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 Nhóm khuyến khích các liên kết chuỗi giá trị nông nghiệp.</w:t>
            </w:r>
          </w:p>
        </w:tc>
      </w:tr>
      <w:tr w14:paraId="5457A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29C7F36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2CEE11F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6ADC0A0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 xml:space="preserve">Viện Chiến lược, Chính sách nông nghiệp và môi </w:t>
            </w:r>
            <w:r>
              <w:rPr>
                <w:rFonts w:hint="default" w:ascii="Times New Roman" w:hAnsi="Times New Roman" w:cs="Times New Roman"/>
                <w:sz w:val="26"/>
                <w:szCs w:val="26"/>
                <w:lang w:val="vi-VN"/>
              </w:rPr>
              <w:t>trường</w:t>
            </w:r>
          </w:p>
        </w:tc>
        <w:tc>
          <w:tcPr>
            <w:tcW w:w="5475" w:type="dxa"/>
          </w:tcPr>
          <w:p w14:paraId="3C20C6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V</w:t>
            </w:r>
            <w:r>
              <w:rPr>
                <w:rFonts w:hint="default" w:ascii="Times New Roman" w:hAnsi="Times New Roman" w:cs="Times New Roman"/>
                <w:sz w:val="26"/>
                <w:szCs w:val="26"/>
              </w:rPr>
              <w:t>ề sản xuất gia công tức là hợp đồng nuôi trồng gia công và quy định trong nghị định rõ ràng là chính nhà nước không hỗ trợ cho các hợp đồng sản xuất gia công.</w:t>
            </w:r>
          </w:p>
        </w:tc>
        <w:tc>
          <w:tcPr>
            <w:tcW w:w="4567" w:type="dxa"/>
          </w:tcPr>
          <w:p w14:paraId="144B75C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Không tiếp thu. </w:t>
            </w:r>
          </w:p>
        </w:tc>
      </w:tr>
      <w:tr w14:paraId="78316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569ACFB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36BA2E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2C38A7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PGS.TS Chu Tiến Quang; </w:t>
            </w:r>
            <w:r>
              <w:rPr>
                <w:rFonts w:hint="default" w:ascii="Times New Roman" w:hAnsi="Times New Roman" w:cs="Times New Roman"/>
                <w:sz w:val="26"/>
                <w:szCs w:val="26"/>
                <w:lang w:val="en-US"/>
              </w:rPr>
              <w:t>Sở NN&amp;MT tỉnh</w:t>
            </w:r>
            <w:r>
              <w:rPr>
                <w:rFonts w:hint="default" w:ascii="Times New Roman" w:hAnsi="Times New Roman" w:cs="Times New Roman"/>
                <w:sz w:val="26"/>
                <w:szCs w:val="26"/>
              </w:rPr>
              <w:t xml:space="preserve"> Sơn La</w:t>
            </w:r>
          </w:p>
        </w:tc>
        <w:tc>
          <w:tcPr>
            <w:tcW w:w="5475" w:type="dxa"/>
          </w:tcPr>
          <w:p w14:paraId="240162D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Làm rõ khái niệm "mua bán sản phẩm nông nghiệp", "liên kết chuỗi giá trị nông nghiệp bền vững".</w:t>
            </w:r>
          </w:p>
        </w:tc>
        <w:tc>
          <w:tcPr>
            <w:tcW w:w="4567" w:type="dxa"/>
          </w:tcPr>
          <w:p w14:paraId="02B9369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Chỉnh lý nội dung giải thích từ ngữ theo hướng ngắn gọn, dễ hiểu, làm rõ tiêu chí phân biệt liên kết với hoạt động mua bán thông thường.</w:t>
            </w:r>
          </w:p>
        </w:tc>
      </w:tr>
      <w:tr w14:paraId="1D83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71E6DAC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54E4124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rPr>
              <w:t xml:space="preserve">4. </w:t>
            </w:r>
            <w:r>
              <w:rPr>
                <w:rFonts w:hint="default" w:ascii="Times New Roman" w:hAnsi="Times New Roman" w:eastAsia="Times New Roman" w:cs="Times New Roman"/>
                <w:sz w:val="26"/>
                <w:szCs w:val="26"/>
                <w:lang w:val="vi-VN"/>
              </w:rPr>
              <w:t>Chủ thể trung tâm chuỗi giá trị</w:t>
            </w:r>
            <w:r>
              <w:rPr>
                <w:rFonts w:hint="default" w:ascii="Times New Roman" w:hAnsi="Times New Roman" w:eastAsia="Times New Roman" w:cs="Times New Roman"/>
                <w:sz w:val="26"/>
                <w:szCs w:val="26"/>
              </w:rPr>
              <w:t xml:space="preserve"> (hoặc Chủ trì liên kết)</w:t>
            </w:r>
            <w:r>
              <w:rPr>
                <w:rFonts w:hint="default" w:ascii="Times New Roman" w:hAnsi="Times New Roman" w:eastAsia="Times New Roman" w:cs="Times New Roman"/>
                <w:sz w:val="26"/>
                <w:szCs w:val="26"/>
                <w:lang w:val="vi-VN"/>
              </w:rPr>
              <w:t xml:space="preserve"> là </w:t>
            </w:r>
            <w:r>
              <w:rPr>
                <w:rFonts w:hint="default" w:ascii="Times New Roman" w:hAnsi="Times New Roman" w:eastAsia="Times New Roman" w:cs="Times New Roman"/>
                <w:sz w:val="26"/>
                <w:szCs w:val="26"/>
              </w:rPr>
              <w:t>chủ thể</w:t>
            </w:r>
            <w:r>
              <w:rPr>
                <w:rFonts w:hint="default" w:ascii="Times New Roman" w:hAnsi="Times New Roman" w:eastAsia="Times New Roman" w:cs="Times New Roman"/>
                <w:sz w:val="26"/>
                <w:szCs w:val="26"/>
                <w:lang w:val="vi-VN"/>
              </w:rPr>
              <w:t xml:space="preserve"> giữ vai trò điều phối, tổ chức sản xuất hoặc tiêu thụ</w:t>
            </w:r>
            <w:r>
              <w:rPr>
                <w:rFonts w:hint="default" w:ascii="Times New Roman" w:hAnsi="Times New Roman" w:eastAsia="Times New Roman" w:cs="Times New Roman"/>
                <w:sz w:val="26"/>
                <w:szCs w:val="26"/>
              </w:rPr>
              <w:t xml:space="preserve"> sản phẩm nông nghiệp</w:t>
            </w:r>
            <w:r>
              <w:rPr>
                <w:rFonts w:hint="default" w:ascii="Times New Roman" w:hAnsi="Times New Roman" w:eastAsia="Times New Roman" w:cs="Times New Roman"/>
                <w:sz w:val="26"/>
                <w:szCs w:val="26"/>
                <w:lang w:val="vi-VN"/>
              </w:rPr>
              <w:t>, có trách nhiệm liên kết các khâu trong chuỗi</w:t>
            </w:r>
            <w:r>
              <w:rPr>
                <w:rFonts w:hint="default" w:ascii="Times New Roman" w:hAnsi="Times New Roman" w:eastAsia="Times New Roman" w:cs="Times New Roman"/>
                <w:sz w:val="26"/>
                <w:szCs w:val="26"/>
              </w:rPr>
              <w:t xml:space="preserve"> giá trị</w:t>
            </w:r>
            <w:r>
              <w:rPr>
                <w:rFonts w:hint="default" w:ascii="Times New Roman" w:hAnsi="Times New Roman" w:eastAsia="Times New Roman" w:cs="Times New Roman"/>
                <w:sz w:val="26"/>
                <w:szCs w:val="26"/>
                <w:lang w:val="vi-VN"/>
              </w:rPr>
              <w:t xml:space="preserve">. </w:t>
            </w:r>
          </w:p>
          <w:p w14:paraId="54CAD70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p>
        </w:tc>
        <w:tc>
          <w:tcPr>
            <w:tcW w:w="1898" w:type="dxa"/>
          </w:tcPr>
          <w:p w14:paraId="04A8C27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Liên minh HTX Việt Nam; </w:t>
            </w:r>
            <w:r>
              <w:rPr>
                <w:rFonts w:hint="default" w:ascii="Times New Roman" w:hAnsi="Times New Roman" w:cs="Times New Roman"/>
                <w:sz w:val="26"/>
                <w:szCs w:val="26"/>
              </w:rPr>
              <w:t xml:space="preserve">Cục Thủy sản và Kiểm </w:t>
            </w:r>
            <w:r>
              <w:rPr>
                <w:rFonts w:hint="default" w:ascii="Times New Roman" w:hAnsi="Times New Roman" w:cs="Times New Roman"/>
                <w:sz w:val="26"/>
                <w:szCs w:val="26"/>
                <w:lang w:val="en-US"/>
              </w:rPr>
              <w:t>n</w:t>
            </w:r>
            <w:r>
              <w:rPr>
                <w:rFonts w:hint="default" w:ascii="Times New Roman" w:hAnsi="Times New Roman" w:cs="Times New Roman"/>
                <w:sz w:val="26"/>
                <w:szCs w:val="26"/>
              </w:rPr>
              <w:t xml:space="preserve">gư; Cục Lâm nghiệp và Kiểm </w:t>
            </w:r>
            <w:r>
              <w:rPr>
                <w:rFonts w:hint="default" w:ascii="Times New Roman" w:hAnsi="Times New Roman" w:cs="Times New Roman"/>
                <w:sz w:val="26"/>
                <w:szCs w:val="26"/>
                <w:lang w:val="en-US"/>
              </w:rPr>
              <w:t>l</w:t>
            </w:r>
            <w:r>
              <w:rPr>
                <w:rFonts w:hint="default" w:ascii="Times New Roman" w:hAnsi="Times New Roman" w:cs="Times New Roman"/>
                <w:sz w:val="26"/>
                <w:szCs w:val="26"/>
              </w:rPr>
              <w:t>âm; Sở Nông nghiệp và Môi trường tỉnh An Giang</w:t>
            </w:r>
            <w:r>
              <w:rPr>
                <w:rFonts w:hint="default" w:ascii="Times New Roman" w:hAnsi="Times New Roman" w:cs="Times New Roman"/>
                <w:sz w:val="26"/>
                <w:szCs w:val="26"/>
                <w:lang w:val="en-US"/>
              </w:rPr>
              <w:t>.</w:t>
            </w:r>
          </w:p>
        </w:tc>
        <w:tc>
          <w:tcPr>
            <w:tcW w:w="5475" w:type="dxa"/>
          </w:tcPr>
          <w:p w14:paraId="1ACCFD00">
            <w:pPr>
              <w:keepNext w:val="0"/>
              <w:keepLines w:val="0"/>
              <w:pageBreakBefore w:val="0"/>
              <w:tabs>
                <w:tab w:val="left" w:pos="720"/>
              </w:tabs>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Đề nghị chỉ sử dụng một khái niệm thống nhất là “chủ trì liên kết”, bỏ cụm từ “chủ thể trung tâm chuỗi giá trị” để tránh chồng chéo, khó áp dụng trong thực tiễn. </w:t>
            </w:r>
          </w:p>
          <w:p w14:paraId="4512B8C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Làm rõ</w:t>
            </w:r>
            <w:r>
              <w:rPr>
                <w:rFonts w:hint="default" w:ascii="Times New Roman" w:hAnsi="Times New Roman" w:cs="Times New Roman"/>
                <w:sz w:val="26"/>
                <w:szCs w:val="26"/>
              </w:rPr>
              <w:t xml:space="preserve"> khái niệm</w:t>
            </w:r>
            <w:r>
              <w:rPr>
                <w:rFonts w:hint="default" w:ascii="Times New Roman" w:hAnsi="Times New Roman" w:cs="Times New Roman"/>
                <w:sz w:val="26"/>
                <w:szCs w:val="26"/>
                <w:lang w:val="vi-VN"/>
              </w:rPr>
              <w:t xml:space="preserve"> “chủ trì liên kết” </w:t>
            </w:r>
            <w:r>
              <w:rPr>
                <w:rFonts w:hint="default" w:ascii="Times New Roman" w:hAnsi="Times New Roman" w:cs="Times New Roman"/>
                <w:sz w:val="26"/>
                <w:szCs w:val="26"/>
              </w:rPr>
              <w:t xml:space="preserve">như sau </w:t>
            </w:r>
            <w:r>
              <w:rPr>
                <w:rFonts w:hint="default" w:ascii="Times New Roman" w:hAnsi="Times New Roman" w:cs="Times New Roman"/>
                <w:sz w:val="26"/>
                <w:szCs w:val="26"/>
                <w:lang w:val="vi-VN"/>
              </w:rPr>
              <w:t xml:space="preserve">là tổ chức, cá nhân giữ vai trò đầu mối điều phối, tổ chức và kết nối các khâu trong chuỗi giá trị từ sản xuất đến tiêu thụ sản phẩm; chịu trách nhiệm chính trong thực hiện liên kết theo thỏa thuận hoặc hợp đồng. </w:t>
            </w:r>
          </w:p>
          <w:p w14:paraId="5939710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Cần bổ sung yêu cầu về năng lực của chủ trì liên kết như năng lực tài chính, hạ tầng, thị trường và khả năng điều phối chuỗi giá trị. </w:t>
            </w:r>
            <w:r>
              <w:rPr>
                <w:rFonts w:hint="default" w:ascii="Times New Roman" w:hAnsi="Times New Roman" w:cs="Times New Roman"/>
                <w:b w:val="0"/>
                <w:bCs w:val="0"/>
                <w:sz w:val="26"/>
                <w:szCs w:val="26"/>
                <w:lang w:val="vi-VN"/>
              </w:rPr>
              <w:t>Lý do:</w:t>
            </w:r>
            <w:r>
              <w:rPr>
                <w:rFonts w:hint="default" w:ascii="Times New Roman" w:hAnsi="Times New Roman" w:cs="Times New Roman"/>
                <w:b w:val="0"/>
                <w:bCs w:val="0"/>
                <w:sz w:val="26"/>
                <w:szCs w:val="26"/>
              </w:rPr>
              <w:t xml:space="preserve"> </w:t>
            </w:r>
            <w:r>
              <w:rPr>
                <w:rFonts w:hint="default" w:ascii="Times New Roman" w:hAnsi="Times New Roman" w:cs="Times New Roman"/>
                <w:sz w:val="26"/>
                <w:szCs w:val="26"/>
                <w:lang w:val="vi-VN"/>
              </w:rPr>
              <w:t>Trong thực tiễn có nhiều chủ thể cùng tham gia chuỗi giá trị, cần xác định rõ đầu mối chịu trách nhiệm tổ chức thực hiện liên kết và tiếp nhận chính sách hỗ trợ; đồng thời bảo đảm thống nhất khái niệm và nâng cao tính khả thi khi triển khai.</w:t>
            </w:r>
          </w:p>
        </w:tc>
        <w:tc>
          <w:tcPr>
            <w:tcW w:w="4567" w:type="dxa"/>
          </w:tcPr>
          <w:p w14:paraId="0BB0ED1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Tiếp thu theo hướng rà soát, chỉnh lý kỹ thuật thể hiện để bảo đảm thống nhất thuật ngữ trong toàn bộ dự thảo, tránh gây khó khăn trong áp dụng thực tiễn. Theo đó, sử dụng thống nhất thuật ngữ “chủ trì liên kết chuỗi giá trị nông nghiệp bền vững”. </w:t>
            </w:r>
          </w:p>
          <w:p w14:paraId="6DB7EE0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đã bổ sung làm rõ khái niệm “chủ trì liên kết chuỗi giá trị nông nghiệp bền vững”.</w:t>
            </w:r>
          </w:p>
          <w:p w14:paraId="40A0900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Việc đề nghị bổ sung yêu cầu năng lực của chủ trì liên kết (tài chính, hạ tầng, thị trường, điều phối) có thể làm thu hẹp đối tượng tham gia, nhất là đối với các HTX, THT quy mô nhỏ hoặc liên kết mới hình thành nhưng có tiềm năng phát triển. Do đó, không cần quy định thành điều kiện cứng tại Điều 3, nhằm bảo đảm tính linh hoạt, khả thi và khuyến khích mở rộng các mô hình liên kết chuỗi giá trị trong thực tiễn.</w:t>
            </w:r>
          </w:p>
        </w:tc>
      </w:tr>
      <w:tr w14:paraId="7683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58B51D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7CD091D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p>
        </w:tc>
        <w:tc>
          <w:tcPr>
            <w:tcW w:w="1898" w:type="dxa"/>
          </w:tcPr>
          <w:p w14:paraId="6878611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Cục Thủy sản và Kiểm </w:t>
            </w:r>
            <w:r>
              <w:rPr>
                <w:rFonts w:hint="default" w:ascii="Times New Roman" w:hAnsi="Times New Roman" w:cs="Times New Roman"/>
                <w:sz w:val="26"/>
                <w:szCs w:val="26"/>
                <w:lang w:val="en-US"/>
              </w:rPr>
              <w:t>n</w:t>
            </w:r>
            <w:r>
              <w:rPr>
                <w:rFonts w:hint="default" w:ascii="Times New Roman" w:hAnsi="Times New Roman" w:cs="Times New Roman"/>
                <w:sz w:val="26"/>
                <w:szCs w:val="26"/>
              </w:rPr>
              <w:t>gư</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Viện Chính sách</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C</w:t>
            </w:r>
            <w:r>
              <w:rPr>
                <w:rFonts w:hint="default" w:ascii="Times New Roman" w:hAnsi="Times New Roman" w:cs="Times New Roman"/>
                <w:sz w:val="26"/>
                <w:szCs w:val="26"/>
              </w:rPr>
              <w:t xml:space="preserve">hiến lược </w:t>
            </w:r>
            <w:r>
              <w:rPr>
                <w:rFonts w:hint="default" w:ascii="Times New Roman" w:hAnsi="Times New Roman" w:cs="Times New Roman"/>
                <w:sz w:val="26"/>
                <w:szCs w:val="26"/>
                <w:lang w:val="en-US"/>
              </w:rPr>
              <w:t xml:space="preserve">nông nghiệp </w:t>
            </w:r>
            <w:r>
              <w:rPr>
                <w:rFonts w:hint="default" w:ascii="Times New Roman" w:hAnsi="Times New Roman" w:cs="Times New Roman"/>
                <w:sz w:val="26"/>
                <w:szCs w:val="26"/>
              </w:rPr>
              <w:t xml:space="preserve">và </w:t>
            </w:r>
            <w:r>
              <w:rPr>
                <w:rFonts w:hint="default" w:ascii="Times New Roman" w:hAnsi="Times New Roman" w:cs="Times New Roman"/>
                <w:sz w:val="26"/>
                <w:szCs w:val="26"/>
                <w:lang w:val="en-US"/>
              </w:rPr>
              <w:t>m</w:t>
            </w:r>
            <w:r>
              <w:rPr>
                <w:rFonts w:hint="default" w:ascii="Times New Roman" w:hAnsi="Times New Roman" w:cs="Times New Roman"/>
                <w:sz w:val="26"/>
                <w:szCs w:val="26"/>
              </w:rPr>
              <w:t>ôi trường</w:t>
            </w:r>
          </w:p>
        </w:tc>
        <w:tc>
          <w:tcPr>
            <w:tcW w:w="5475" w:type="dxa"/>
          </w:tcPr>
          <w:p w14:paraId="4781D82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Đề nghị bổ sung khái niệm “chủ thể liên kết” để chỉ các bên tham gia chuỗi liên kết, phân biệt với “chủ trì liên kết”. </w:t>
            </w:r>
          </w:p>
          <w:p w14:paraId="6B41235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Cần làm rõ chủ trì liên kết là đầu mối chịu trách nhiệm về hồ sơ, tổ chức thực hiện liên kết và quản lý nguồn hỗ trợ của Nhà nước, nhưng không mặc nhiên thay thế trách nhiệm dân sự, thương mại của các bên tham gia hợp đồng liên kết. </w:t>
            </w:r>
          </w:p>
          <w:p w14:paraId="5B4E26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Làm rõ phạm vi các chủ thể tham gia liên kết, bảo đảm thống nhất với Điều 2 của dự thảo Nghị định. </w:t>
            </w:r>
          </w:p>
          <w:p w14:paraId="6D3183C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Thống nhất cách sử dụng thuật ngữ “chủ thể liên kết” trong toàn bộ dự thảo để tránh nhầm lẫn giữa vai trò tham gia và vai trò đầu mối điều phối liên kết.</w:t>
            </w:r>
          </w:p>
        </w:tc>
        <w:tc>
          <w:tcPr>
            <w:tcW w:w="4567" w:type="dxa"/>
          </w:tcPr>
          <w:p w14:paraId="52A225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K</w:t>
            </w:r>
            <w:r>
              <w:rPr>
                <w:rFonts w:hint="default" w:ascii="Times New Roman" w:hAnsi="Times New Roman" w:cs="Times New Roman"/>
                <w:sz w:val="26"/>
                <w:szCs w:val="26"/>
                <w:lang w:val="vi-VN"/>
              </w:rPr>
              <w:t>hông bổ sung riêng một khái niệm độc lập “chủ thể liên kết” tại Điều 3, do phạm vi các chủ thể tham gia liên kết đã được quy định tương đối đầy đủ tại Điều 2 về đối tượng áp dụng của Nghị định. Việc bổ sung thêm một khái niệm mới dẫn đến trùng lặp nội hàm, làm tăng số lượng thuật ngữ và phức tạp cấu trúc giải thích từ ngữ mà không làm thay đổi bản chất áp dụng chính sách.</w:t>
            </w:r>
          </w:p>
          <w:p w14:paraId="1F9A1E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Để bảo đảm thống nhất, </w:t>
            </w:r>
            <w:r>
              <w:rPr>
                <w:rFonts w:hint="default" w:ascii="Times New Roman" w:hAnsi="Times New Roman" w:cs="Times New Roman"/>
                <w:sz w:val="26"/>
                <w:szCs w:val="26"/>
                <w:lang w:val="en-US"/>
              </w:rPr>
              <w:t>Ban saonj thảo đã rà soát,</w:t>
            </w:r>
            <w:r>
              <w:rPr>
                <w:rFonts w:hint="default" w:ascii="Times New Roman" w:hAnsi="Times New Roman" w:cs="Times New Roman"/>
                <w:sz w:val="26"/>
                <w:szCs w:val="26"/>
                <w:lang w:val="vi-VN"/>
              </w:rPr>
              <w:t xml:space="preserve"> sử dụng thống nhất thuật ngữ “các bên tham gia liên kết” hoặc “các chủ thể tham gia liên kết” trong nội dung điều khoản, đồng thời làm rõ “chủ trì liên kết” là chủ thể đầu mối chịu trách nhiệm tổ chức, điều phối và thực hiện liên kết theo hợp đồng hoặc thỏa thuận.</w:t>
            </w:r>
          </w:p>
        </w:tc>
      </w:tr>
      <w:tr w14:paraId="3549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37DE40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1FA1523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p>
        </w:tc>
        <w:tc>
          <w:tcPr>
            <w:tcW w:w="1898" w:type="dxa"/>
          </w:tcPr>
          <w:p w14:paraId="0ADC870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Học viện nông nghiệp Việt Nam</w:t>
            </w:r>
          </w:p>
        </w:tc>
        <w:tc>
          <w:tcPr>
            <w:tcW w:w="5475" w:type="dxa"/>
          </w:tcPr>
          <w:p w14:paraId="493549C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Đề nghị </w:t>
            </w:r>
            <w:r>
              <w:rPr>
                <w:rFonts w:hint="default" w:ascii="Times New Roman" w:hAnsi="Times New Roman" w:cs="Times New Roman"/>
                <w:sz w:val="26"/>
                <w:szCs w:val="26"/>
              </w:rPr>
              <w:t>quy định chủ thể trung tâm chuỗi giá trị được quy định trong hợp đồng hoặc thỏa thuận liên kết.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Lý do: V</w:t>
            </w:r>
            <w:r>
              <w:rPr>
                <w:rFonts w:hint="default" w:ascii="Times New Roman" w:hAnsi="Times New Roman" w:cs="Times New Roman"/>
                <w:sz w:val="26"/>
                <w:szCs w:val="26"/>
              </w:rPr>
              <w:t>iệc này tạo thuận lợi trong xác định chủ thể trung tâm chuỗi giá trị.</w:t>
            </w:r>
          </w:p>
        </w:tc>
        <w:tc>
          <w:tcPr>
            <w:tcW w:w="4567" w:type="dxa"/>
          </w:tcPr>
          <w:p w14:paraId="1C5CF5A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29CF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387A4AB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4690B38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rPr>
              <w:t xml:space="preserve">5. </w:t>
            </w:r>
            <w:r>
              <w:rPr>
                <w:rFonts w:hint="default" w:ascii="Times New Roman" w:hAnsi="Times New Roman" w:eastAsia="Times New Roman" w:cs="Times New Roman"/>
                <w:sz w:val="26"/>
                <w:szCs w:val="26"/>
                <w:lang w:val="vi-VN"/>
              </w:rPr>
              <w:t xml:space="preserve">Vùng nguyên liệu </w:t>
            </w:r>
            <w:r>
              <w:rPr>
                <w:rFonts w:hint="default" w:ascii="Times New Roman" w:hAnsi="Times New Roman" w:eastAsia="Times New Roman" w:cs="Times New Roman"/>
                <w:sz w:val="26"/>
                <w:szCs w:val="26"/>
              </w:rPr>
              <w:t xml:space="preserve">nông nghiệp </w:t>
            </w:r>
            <w:r>
              <w:rPr>
                <w:rFonts w:hint="default" w:ascii="Times New Roman" w:hAnsi="Times New Roman" w:eastAsia="Times New Roman" w:cs="Times New Roman"/>
                <w:sz w:val="26"/>
                <w:szCs w:val="26"/>
                <w:lang w:val="vi-VN"/>
              </w:rPr>
              <w:t xml:space="preserve">là khu vực sản xuất </w:t>
            </w:r>
            <w:r>
              <w:rPr>
                <w:rFonts w:hint="default" w:ascii="Times New Roman" w:hAnsi="Times New Roman" w:eastAsia="Times New Roman" w:cs="Times New Roman"/>
                <w:sz w:val="26"/>
                <w:szCs w:val="26"/>
              </w:rPr>
              <w:t xml:space="preserve">nông nghiệp </w:t>
            </w:r>
            <w:r>
              <w:rPr>
                <w:rFonts w:hint="default" w:ascii="Times New Roman" w:hAnsi="Times New Roman" w:eastAsia="Times New Roman" w:cs="Times New Roman"/>
                <w:sz w:val="26"/>
                <w:szCs w:val="26"/>
                <w:lang w:val="vi-VN"/>
              </w:rPr>
              <w:t xml:space="preserve">tập trung, được tổ chức theo tiêu chuẩn thống nhất về giống, quy trình kỹ thuật, chất lượng sản phẩm và có liên kết ổn định với cơ sở chế biến hoặc thị trường tiêu thụ. </w:t>
            </w:r>
          </w:p>
        </w:tc>
        <w:tc>
          <w:tcPr>
            <w:tcW w:w="1898" w:type="dxa"/>
          </w:tcPr>
          <w:p w14:paraId="38434D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Môi trường</w:t>
            </w:r>
          </w:p>
        </w:tc>
        <w:tc>
          <w:tcPr>
            <w:tcW w:w="5475" w:type="dxa"/>
          </w:tcPr>
          <w:p w14:paraId="08F0E3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Điều 3: Xem xét, bổ sung khái niệm "vùng nguyên liệu nông nghiệp bền vững" không chỉ là sự thống nhất về kỹ thuật và chất lượng sản phẩm, mà còn bao hàm cả tính bền vững về môi trường.</w:t>
            </w:r>
          </w:p>
        </w:tc>
        <w:tc>
          <w:tcPr>
            <w:tcW w:w="4567" w:type="dxa"/>
          </w:tcPr>
          <w:p w14:paraId="1C5CA91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N</w:t>
            </w:r>
            <w:r>
              <w:rPr>
                <w:rFonts w:hint="default" w:ascii="Times New Roman" w:hAnsi="Times New Roman" w:cs="Times New Roman"/>
                <w:sz w:val="26"/>
                <w:szCs w:val="26"/>
                <w:lang w:val="vi-VN"/>
              </w:rPr>
              <w:t>ội hàm “vùng nguyên liệu nông nghiệp bền vững” trong dự thảo Nghị định đã được tiếp cận theo hướng bao quát, không chỉ giới hạn ở yêu cầu kỹ thuật, chất lượng sản phẩm mà còn bao gồm các yếu tố phát triển ổn định, lâu dài và đáp ứng yêu cầu thị trường, trong đó các nội dung về sử dụng tài nguyên hiệu quả, giảm phát thải, bảo vệ môi trường, thích ứng biến đổi khí hậu đã được thể hiện xuyên suốt tại các quy định về nguyên tắc phát triển liên kết, tổ chức sản xuất và chính sách hỗ trợ.</w:t>
            </w:r>
          </w:p>
        </w:tc>
      </w:tr>
      <w:tr w14:paraId="56E3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4306ADD7">
            <w:pPr>
              <w:keepNext w:val="0"/>
              <w:keepLines w:val="0"/>
              <w:pageBreakBefore w:val="0"/>
              <w:kinsoku/>
              <w:wordWrap/>
              <w:overflowPunct/>
              <w:topLinePunct w:val="0"/>
              <w:bidi w:val="0"/>
              <w:snapToGrid/>
              <w:spacing w:beforeAutospacing="0" w:after="0" w:afterAutospacing="0" w:line="240" w:lineRule="auto"/>
              <w:ind w:left="360"/>
              <w:jc w:val="center"/>
              <w:textAlignment w:val="auto"/>
              <w:rPr>
                <w:rFonts w:hint="default" w:ascii="Times New Roman" w:hAnsi="Times New Roman" w:cs="Times New Roman"/>
                <w:sz w:val="26"/>
                <w:szCs w:val="26"/>
              </w:rPr>
            </w:pPr>
          </w:p>
        </w:tc>
        <w:tc>
          <w:tcPr>
            <w:tcW w:w="2646" w:type="dxa"/>
            <w:vMerge w:val="restart"/>
          </w:tcPr>
          <w:p w14:paraId="39E50D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val="vi-VN"/>
              </w:rPr>
            </w:pPr>
            <w:r>
              <w:rPr>
                <w:rFonts w:hint="default" w:ascii="Times New Roman" w:hAnsi="Times New Roman" w:eastAsia="Times New Roman" w:cs="Times New Roman"/>
                <w:sz w:val="26"/>
                <w:szCs w:val="26"/>
              </w:rPr>
              <w:t xml:space="preserve">6. </w:t>
            </w:r>
            <w:r>
              <w:rPr>
                <w:rFonts w:hint="default" w:ascii="Times New Roman" w:hAnsi="Times New Roman" w:eastAsia="Times New Roman" w:cs="Times New Roman"/>
                <w:sz w:val="26"/>
                <w:szCs w:val="26"/>
                <w:lang w:val="vi-VN"/>
              </w:rPr>
              <w:t xml:space="preserve">Dữ liệu chuỗi giá trị </w:t>
            </w:r>
            <w:r>
              <w:rPr>
                <w:rFonts w:hint="default" w:ascii="Times New Roman" w:hAnsi="Times New Roman" w:eastAsia="Times New Roman" w:cs="Times New Roman"/>
                <w:sz w:val="26"/>
                <w:szCs w:val="26"/>
              </w:rPr>
              <w:t xml:space="preserve">nông nghiệp </w:t>
            </w:r>
            <w:r>
              <w:rPr>
                <w:rFonts w:hint="default" w:ascii="Times New Roman" w:hAnsi="Times New Roman" w:eastAsia="Times New Roman" w:cs="Times New Roman"/>
                <w:sz w:val="26"/>
                <w:szCs w:val="26"/>
                <w:lang w:val="vi-VN"/>
              </w:rPr>
              <w:t>là hệ thống thông tin liên quan đến sản xuất, chất lượng, truy xuất nguồn gốc, giao dịch và quản trị chuỗi</w:t>
            </w:r>
            <w:r>
              <w:rPr>
                <w:rFonts w:hint="default" w:ascii="Times New Roman" w:hAnsi="Times New Roman" w:eastAsia="Times New Roman" w:cs="Times New Roman"/>
                <w:sz w:val="26"/>
                <w:szCs w:val="26"/>
              </w:rPr>
              <w:t xml:space="preserve"> giá trị</w:t>
            </w:r>
            <w:r>
              <w:rPr>
                <w:rFonts w:hint="default" w:ascii="Times New Roman" w:hAnsi="Times New Roman" w:eastAsia="Times New Roman" w:cs="Times New Roman"/>
                <w:sz w:val="26"/>
                <w:szCs w:val="26"/>
                <w:lang w:val="vi-VN"/>
              </w:rPr>
              <w:t xml:space="preserve">. </w:t>
            </w:r>
          </w:p>
        </w:tc>
        <w:tc>
          <w:tcPr>
            <w:tcW w:w="1898" w:type="dxa"/>
            <w:shd w:val="clear" w:color="auto" w:fill="auto"/>
            <w:vAlign w:val="top"/>
          </w:tcPr>
          <w:p w14:paraId="2FC9911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vi-VN"/>
              </w:rPr>
              <w:t xml:space="preserve">Bộ Công </w:t>
            </w:r>
            <w:r>
              <w:rPr>
                <w:rFonts w:hint="default" w:ascii="Times New Roman" w:hAnsi="Times New Roman" w:cs="Times New Roman"/>
                <w:sz w:val="26"/>
                <w:szCs w:val="26"/>
              </w:rPr>
              <w:t>Thương</w:t>
            </w:r>
          </w:p>
        </w:tc>
        <w:tc>
          <w:tcPr>
            <w:tcW w:w="5475" w:type="dxa"/>
            <w:shd w:val="clear" w:color="auto" w:fill="auto"/>
            <w:vAlign w:val="top"/>
          </w:tcPr>
          <w:p w14:paraId="287E854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Đề nghị nghiên cứu sửa bổ sung thông tin về sản phẩm, vùng nguyên liệu.</w:t>
            </w:r>
          </w:p>
        </w:tc>
        <w:tc>
          <w:tcPr>
            <w:tcW w:w="4567" w:type="dxa"/>
            <w:shd w:val="clear" w:color="auto" w:fill="auto"/>
            <w:vAlign w:val="top"/>
          </w:tcPr>
          <w:p w14:paraId="2436CEE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en-US"/>
              </w:rPr>
              <w:t>Ý</w:t>
            </w:r>
            <w:r>
              <w:rPr>
                <w:rFonts w:hint="default" w:ascii="Times New Roman" w:hAnsi="Times New Roman" w:cs="Times New Roman"/>
                <w:sz w:val="26"/>
                <w:szCs w:val="26"/>
                <w:lang w:val="vi-VN"/>
              </w:rPr>
              <w:t xml:space="preserve"> kiến góp ý chưa nêu rõ nội dung cần sửa đổi, bổ sung cụ thể. Việc quy định bổ sung thông tin chi tiết về sản phẩm, vùng nguyên liệu ngay trong khái niệm hoặc quy định chung của Nghị định làm trùng lặp với nội dung của kế hoạch liên kết, hồ sơ đề xuất hỗ trợ hoặc quy định chuyên ngành theo từng ngành hàng, đồng thời làm giảm tính khái quát, linh hoạt của văn bản.</w:t>
            </w:r>
            <w:r>
              <w:rPr>
                <w:rFonts w:hint="default" w:ascii="Times New Roman" w:hAnsi="Times New Roman" w:cs="Times New Roman"/>
                <w:sz w:val="26"/>
                <w:szCs w:val="26"/>
                <w:lang w:val="en-US"/>
              </w:rPr>
              <w:t xml:space="preserve"> Nghị định đã đặt ra yêu cầu vùng nguyên liệu nông nghiệp và tiêu chí vùng nguyên liệu nông nghiệp tại Điều 9.</w:t>
            </w:r>
          </w:p>
        </w:tc>
      </w:tr>
      <w:tr w14:paraId="21CF7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BEAAA0C">
            <w:pPr>
              <w:keepNext w:val="0"/>
              <w:keepLines w:val="0"/>
              <w:pageBreakBefore w:val="0"/>
              <w:kinsoku/>
              <w:wordWrap/>
              <w:overflowPunct/>
              <w:topLinePunct w:val="0"/>
              <w:bidi w:val="0"/>
              <w:snapToGrid/>
              <w:spacing w:beforeAutospacing="0" w:after="0" w:afterAutospacing="0" w:line="240" w:lineRule="auto"/>
              <w:ind w:left="360"/>
              <w:jc w:val="center"/>
              <w:textAlignment w:val="auto"/>
              <w:rPr>
                <w:rFonts w:hint="default" w:ascii="Times New Roman" w:hAnsi="Times New Roman" w:cs="Times New Roman"/>
                <w:sz w:val="26"/>
                <w:szCs w:val="26"/>
              </w:rPr>
            </w:pPr>
          </w:p>
        </w:tc>
        <w:tc>
          <w:tcPr>
            <w:tcW w:w="2646" w:type="dxa"/>
            <w:vMerge w:val="continue"/>
          </w:tcPr>
          <w:p w14:paraId="09E7F1D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p>
        </w:tc>
        <w:tc>
          <w:tcPr>
            <w:tcW w:w="1898" w:type="dxa"/>
            <w:shd w:val="clear" w:color="auto" w:fill="auto"/>
            <w:vAlign w:val="top"/>
          </w:tcPr>
          <w:p w14:paraId="2D1765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Liên minh HTX Việt Nam</w:t>
            </w:r>
          </w:p>
        </w:tc>
        <w:tc>
          <w:tcPr>
            <w:tcW w:w="5475" w:type="dxa"/>
            <w:shd w:val="clear" w:color="auto" w:fill="auto"/>
            <w:vAlign w:val="top"/>
          </w:tcPr>
          <w:p w14:paraId="478E0A17">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Đề nghị bổ sung nguyên tắc quản lý, chia sẻ, khai thác và bảo vệ dữ liệu; bảo đảm không làm phát sinh nghĩa vụ cung cấp dữ liệu quá mức, không ảnh hưởng đến bí mật kinh doanh, quyền sở hữu dữ liệu, thông tin cá nhân và lợi ích hợp pháp của các chủ thể. </w:t>
            </w:r>
          </w:p>
          <w:p w14:paraId="72304ED9">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color w:val="000000"/>
                <w:kern w:val="0"/>
                <w:sz w:val="26"/>
                <w:szCs w:val="26"/>
                <w:lang w:val="en-US" w:eastAsia="en-US" w:bidi="ar-SA"/>
                <w14:ligatures w14:val="standardContextual"/>
              </w:rPr>
            </w:pPr>
            <w:r>
              <w:rPr>
                <w:rFonts w:hint="default" w:ascii="Times New Roman" w:hAnsi="Times New Roman" w:cs="Times New Roman"/>
                <w:sz w:val="26"/>
                <w:szCs w:val="26"/>
                <w:lang w:val="en-US"/>
              </w:rPr>
              <w:t xml:space="preserve">Lý do: </w:t>
            </w:r>
            <w:r>
              <w:rPr>
                <w:rFonts w:hint="default" w:ascii="Times New Roman" w:hAnsi="Times New Roman" w:cs="Times New Roman"/>
                <w:sz w:val="26"/>
                <w:szCs w:val="26"/>
              </w:rPr>
              <w:t xml:space="preserve">Phù hợp yêu cầu chuyển đổi số, truy xuất nguồn gốc nhưng vẫn bảo vệ quyền, lợi ích hợp pháp của các bên tham gia chuỗi. </w:t>
            </w:r>
          </w:p>
        </w:tc>
        <w:tc>
          <w:tcPr>
            <w:tcW w:w="4567" w:type="dxa"/>
            <w:shd w:val="clear" w:color="auto" w:fill="auto"/>
            <w:vAlign w:val="top"/>
          </w:tcPr>
          <w:p w14:paraId="2669BD0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Nội dung về quản lý, chia sẻ, khai thác, bảo vệ dữ liệu; bảo vệ bí mật kinh doanh, dữ liệu cá nhân và quyền sở hữu dữ liệu đã được điều chỉnh trong hệ thống pháp luật hiện hành về dân sự, an ninh mạng, bảo vệ dữ liệu cá nhân, sở hữu trí tuệ, thương mại điện tử và các quy định chuyên ngành có liên quan. Vì vậy, không cần thiết bổ sung thêm nguyên tắc riêng về dữ liệu nhằm bảo đảm tính tập trung, tránh mở rộng phạm vi điều chỉnh của Nghị định vượt quá nội dung chính sách được giao.</w:t>
            </w:r>
          </w:p>
        </w:tc>
      </w:tr>
      <w:tr w14:paraId="166E2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81" w:type="dxa"/>
            <w:shd w:val="clear" w:color="auto" w:fill="92D050"/>
          </w:tcPr>
          <w:p w14:paraId="17CD20C8">
            <w:pPr>
              <w:keepNext w:val="0"/>
              <w:keepLines w:val="0"/>
              <w:pageBreakBefore w:val="0"/>
              <w:kinsoku/>
              <w:wordWrap/>
              <w:overflowPunct/>
              <w:topLinePunct w:val="0"/>
              <w:bidi w:val="0"/>
              <w:snapToGrid/>
              <w:spacing w:beforeAutospacing="0" w:after="0" w:afterAutospacing="0" w:line="240" w:lineRule="auto"/>
              <w:ind w:left="360"/>
              <w:jc w:val="center"/>
              <w:textAlignment w:val="auto"/>
              <w:rPr>
                <w:rFonts w:hint="default" w:ascii="Times New Roman" w:hAnsi="Times New Roman" w:cs="Times New Roman"/>
                <w:sz w:val="26"/>
                <w:szCs w:val="26"/>
              </w:rPr>
            </w:pPr>
          </w:p>
        </w:tc>
        <w:tc>
          <w:tcPr>
            <w:tcW w:w="14586" w:type="dxa"/>
            <w:gridSpan w:val="4"/>
            <w:shd w:val="clear" w:color="auto" w:fill="92D050"/>
            <w:vAlign w:val="center"/>
          </w:tcPr>
          <w:p w14:paraId="538B7F9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firstLine="0" w:firstLineChars="0"/>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color w:val="auto"/>
                <w:sz w:val="26"/>
                <w:szCs w:val="26"/>
                <w:lang w:val="vi-VN" w:eastAsia="vi-VN"/>
              </w:rPr>
              <w:t>Chương I</w:t>
            </w:r>
            <w:r>
              <w:rPr>
                <w:rFonts w:hint="default" w:ascii="Times New Roman" w:hAnsi="Times New Roman" w:eastAsia="Times New Roman" w:cs="Times New Roman"/>
                <w:b/>
                <w:bCs/>
                <w:color w:val="auto"/>
                <w:sz w:val="26"/>
                <w:szCs w:val="26"/>
                <w:lang w:val="en-US" w:eastAsia="vi-VN"/>
              </w:rPr>
              <w:t>I: TỔ CHỨC LIÊN KẾT CHUỖI GIÁ TRỊ</w:t>
            </w:r>
          </w:p>
        </w:tc>
      </w:tr>
      <w:tr w14:paraId="1DB83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D8B29A3">
            <w:pPr>
              <w:keepNext w:val="0"/>
              <w:keepLines w:val="0"/>
              <w:pageBreakBefore w:val="0"/>
              <w:kinsoku/>
              <w:wordWrap/>
              <w:overflowPunct/>
              <w:topLinePunct w:val="0"/>
              <w:bidi w:val="0"/>
              <w:snapToGrid/>
              <w:spacing w:beforeAutospacing="0" w:after="0" w:afterAutospacing="0" w:line="240" w:lineRule="auto"/>
              <w:ind w:left="360"/>
              <w:jc w:val="center"/>
              <w:textAlignment w:val="auto"/>
              <w:rPr>
                <w:rFonts w:hint="default" w:ascii="Times New Roman" w:hAnsi="Times New Roman" w:cs="Times New Roman"/>
                <w:sz w:val="26"/>
                <w:szCs w:val="26"/>
              </w:rPr>
            </w:pPr>
          </w:p>
        </w:tc>
        <w:tc>
          <w:tcPr>
            <w:tcW w:w="2646" w:type="dxa"/>
          </w:tcPr>
          <w:p w14:paraId="478A615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rPr>
            </w:pPr>
            <w:r>
              <w:rPr>
                <w:rFonts w:hint="default" w:ascii="Times New Roman" w:hAnsi="Times New Roman" w:eastAsia="Times New Roman" w:cs="Times New Roman"/>
                <w:b/>
                <w:bCs/>
                <w:sz w:val="26"/>
                <w:szCs w:val="26"/>
                <w:lang w:val="vi-VN"/>
              </w:rPr>
              <w:t>Điều 4. Nguyên tắc phát triển liên kết chuỗi giá trị</w:t>
            </w:r>
          </w:p>
        </w:tc>
        <w:tc>
          <w:tcPr>
            <w:tcW w:w="1898" w:type="dxa"/>
          </w:tcPr>
          <w:p w14:paraId="22C4FD9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7A41E33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4CB6D93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384F8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3D69639">
            <w:pPr>
              <w:keepNext w:val="0"/>
              <w:keepLines w:val="0"/>
              <w:pageBreakBefore w:val="0"/>
              <w:kinsoku/>
              <w:wordWrap/>
              <w:overflowPunct/>
              <w:topLinePunct w:val="0"/>
              <w:bidi w:val="0"/>
              <w:snapToGrid/>
              <w:spacing w:beforeAutospacing="0" w:after="0" w:afterAutospacing="0" w:line="240" w:lineRule="auto"/>
              <w:ind w:left="360"/>
              <w:jc w:val="center"/>
              <w:textAlignment w:val="auto"/>
              <w:rPr>
                <w:rFonts w:hint="default" w:ascii="Times New Roman" w:hAnsi="Times New Roman" w:cs="Times New Roman"/>
                <w:sz w:val="26"/>
                <w:szCs w:val="26"/>
              </w:rPr>
            </w:pPr>
          </w:p>
        </w:tc>
        <w:tc>
          <w:tcPr>
            <w:tcW w:w="2646" w:type="dxa"/>
          </w:tcPr>
          <w:p w14:paraId="27FDFBC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val="vi-VN"/>
              </w:rPr>
            </w:pPr>
          </w:p>
        </w:tc>
        <w:tc>
          <w:tcPr>
            <w:tcW w:w="1898" w:type="dxa"/>
            <w:shd w:val="clear" w:color="auto" w:fill="auto"/>
            <w:vAlign w:val="top"/>
          </w:tcPr>
          <w:p w14:paraId="6DDED60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Viện Chiến lược, Chính sách nông nghiệp và môi trường</w:t>
            </w:r>
          </w:p>
        </w:tc>
        <w:tc>
          <w:tcPr>
            <w:tcW w:w="5475" w:type="dxa"/>
            <w:shd w:val="clear" w:color="auto" w:fill="auto"/>
            <w:vAlign w:val="top"/>
          </w:tcPr>
          <w:p w14:paraId="2E5338C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Điều 4 và điều 5 của dự thảo là không cần thiết</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một số nội dung của điều 4 nên đưa vào phần điều kiện để nhận được hỗ trợ liên kết</w:t>
            </w:r>
          </w:p>
        </w:tc>
        <w:tc>
          <w:tcPr>
            <w:tcW w:w="4567" w:type="dxa"/>
          </w:tcPr>
          <w:p w14:paraId="681C0AF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Giữ Điều 4 do đây là điều khoản nền tảng định hướng phát triển liên kết chuỗi giá trị; tuy nhiên</w:t>
            </w:r>
            <w:r>
              <w:rPr>
                <w:rFonts w:hint="default" w:ascii="Times New Roman" w:hAnsi="Times New Roman" w:cs="Times New Roman"/>
                <w:sz w:val="26"/>
                <w:szCs w:val="26"/>
                <w:lang w:val="en-US"/>
              </w:rPr>
              <w:t xml:space="preserve"> đã</w:t>
            </w:r>
            <w:r>
              <w:rPr>
                <w:rFonts w:hint="default" w:ascii="Times New Roman" w:hAnsi="Times New Roman" w:cs="Times New Roman"/>
                <w:sz w:val="26"/>
                <w:szCs w:val="26"/>
                <w:lang w:val="vi-VN"/>
              </w:rPr>
              <w:t xml:space="preserve"> rà soát, tinh gọn, chỉ giữ các nguyên tắc cốt lõi, chuyển nội dung mang tính điều kiện hỗ trợ sang điều khoản liên quan.</w:t>
            </w:r>
          </w:p>
        </w:tc>
      </w:tr>
      <w:tr w14:paraId="16CD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7978F2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603637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 xml:space="preserve">2. Tôn trọng quy luật thị trường; Nhà nước thực hiện vai trò định hướng, hỗ trợ, không can thiệp hành chính vào hoạt động sản xuất, kinh doanh hợp pháp. </w:t>
            </w:r>
          </w:p>
        </w:tc>
        <w:tc>
          <w:tcPr>
            <w:tcW w:w="1898" w:type="dxa"/>
          </w:tcPr>
          <w:p w14:paraId="2B0C2F4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Vĩnh Long</w:t>
            </w:r>
          </w:p>
        </w:tc>
        <w:tc>
          <w:tcPr>
            <w:tcW w:w="5475" w:type="dxa"/>
          </w:tcPr>
          <w:p w14:paraId="3D623E6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ề nghị tách nội dung “Nhà nước thực hiện vai trò định hướng, hỗ trợ, không can thiệp hành chính vào hoạt động sản xuất, kinh doanh hợp pháp” và điều chuyển nội dung này thành khoản 1. Lý do: thể hiện cụ thể hóa vai trò và vị trí của Nhà nước trong thực hiện phát triển liên kết chuỗi giá trị;</w:t>
            </w:r>
          </w:p>
          <w:p w14:paraId="0D7E05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Trên nội dung đề nghị sửa đổi nêu trên, điều chỉnh số thứ tự các khoản trong Điều 5 của dự thảo.</w:t>
            </w:r>
          </w:p>
        </w:tc>
        <w:tc>
          <w:tcPr>
            <w:tcW w:w="4567" w:type="dxa"/>
          </w:tcPr>
          <w:p w14:paraId="36A298D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Không tiếp thu.</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Giữ nguyên cấu trúc hiện tại vì bảo đảm logic từ nguyên tắc giữa các chủ thể đến vai trò hỗ trợ của Nhà nước; không cần chuyển nội dung về Nhà nước lên khoản đầu.</w:t>
            </w:r>
          </w:p>
        </w:tc>
      </w:tr>
      <w:tr w14:paraId="13D56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542BD1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2C5DE68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2962104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Thủy sản và Kiểm ngư</w:t>
            </w:r>
          </w:p>
        </w:tc>
        <w:tc>
          <w:tcPr>
            <w:tcW w:w="5475" w:type="dxa"/>
          </w:tcPr>
          <w:p w14:paraId="32174CF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nghiên cứu, bổ sung quy định 01 khoản mới tại Điều 4“Liên kết chuỗi giá trị nông nghiệp phải gắn với yêu cầu quản lý sản xuất có trách nhiệm, kiểm soát sản lượng, truy xuất nguồn gốc sản phẩm và tuân thủ các quy định của pháp luật có liên quan.” Lý do: Nhằm đáp ứng các yêu cầu về hội nhập kinh tế quốc tế hiện nay.</w:t>
            </w:r>
          </w:p>
        </w:tc>
        <w:tc>
          <w:tcPr>
            <w:tcW w:w="4567" w:type="dxa"/>
          </w:tcPr>
          <w:p w14:paraId="42F032B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T</w:t>
            </w:r>
            <w:r>
              <w:rPr>
                <w:rFonts w:hint="default" w:ascii="Times New Roman" w:hAnsi="Times New Roman" w:cs="Times New Roman"/>
                <w:sz w:val="26"/>
                <w:szCs w:val="26"/>
                <w:lang w:val="vi-VN"/>
              </w:rPr>
              <w:t>iếp thu một phần.</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Bổ sung yếu tố truy xuất nguồn gốc, yêu cầu thị trường, sản xuất có trách nhiệm; nhưng không quy định quá chi tiết nghĩa vụ tuân thủ pháp luật chuyên ngành tại Điều 4 vì đã được điều chỉnh ở các điều khoản khác và pháp luật chuyên ngành.</w:t>
            </w:r>
          </w:p>
        </w:tc>
      </w:tr>
      <w:tr w14:paraId="0331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781" w:type="dxa"/>
          </w:tcPr>
          <w:p w14:paraId="7F58392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76956F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4.</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 xml:space="preserve">Bảo đảm hài hòa lợi ích và chia sẻ rủi ro giữa các chủ thể, đặc biệt giữa nông dân, hợp tác xã và doanh nghiệp. </w:t>
            </w:r>
          </w:p>
        </w:tc>
        <w:tc>
          <w:tcPr>
            <w:tcW w:w="1898" w:type="dxa"/>
          </w:tcPr>
          <w:p w14:paraId="5DE53AB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Học viện Nông nghiệp Việt Nam</w:t>
            </w:r>
          </w:p>
        </w:tc>
        <w:tc>
          <w:tcPr>
            <w:tcW w:w="5475" w:type="dxa"/>
          </w:tcPr>
          <w:p w14:paraId="3F1EDD6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Đề nghị b</w:t>
            </w:r>
            <w:r>
              <w:rPr>
                <w:rFonts w:hint="default" w:ascii="Times New Roman" w:hAnsi="Times New Roman" w:cs="Times New Roman"/>
                <w:sz w:val="26"/>
                <w:szCs w:val="26"/>
              </w:rPr>
              <w:t>ổ sung nội dung “quyền quyết định” vào khoản này.</w:t>
            </w:r>
          </w:p>
          <w:p w14:paraId="3E0AEEE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Lý do:</w:t>
            </w:r>
            <w:r>
              <w:rPr>
                <w:rFonts w:hint="default" w:ascii="Times New Roman" w:hAnsi="Times New Roman" w:cs="Times New Roman"/>
                <w:sz w:val="26"/>
                <w:szCs w:val="26"/>
              </w:rPr>
              <w:t xml:space="preserve"> Bên cạnh chia sẻ lợi ích, rủi ro thì phân chia “quyền quyết định” của các bên tham gia liên kết cũng là nội dung quan trọng ảnh hưởng đến kết quả và hiệu</w:t>
            </w:r>
            <w:r>
              <w:rPr>
                <w:rFonts w:hint="default" w:ascii="Times New Roman" w:hAnsi="Times New Roman" w:cs="Times New Roman"/>
                <w:sz w:val="26"/>
                <w:szCs w:val="26"/>
                <w:lang w:val="vi-VN"/>
              </w:rPr>
              <w:t xml:space="preserve"> quả liên kết.</w:t>
            </w:r>
          </w:p>
        </w:tc>
        <w:tc>
          <w:tcPr>
            <w:tcW w:w="4567" w:type="dxa"/>
          </w:tcPr>
          <w:p w14:paraId="447CCF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T</w:t>
            </w:r>
            <w:r>
              <w:rPr>
                <w:rFonts w:hint="default" w:ascii="Times New Roman" w:hAnsi="Times New Roman" w:cs="Times New Roman"/>
                <w:sz w:val="26"/>
                <w:szCs w:val="26"/>
                <w:lang w:val="vi-VN"/>
              </w:rPr>
              <w:t>iếp thu một phần.</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Giữ nguyên tắc hài hòa lợi ích, chia sẻ rủi ro và trách nhiệm thực hiện cam kết; không đưa chi tiết cơ chế bồi thường, quyền quyết định, chế tài vào Điều 4 vì thuộc phạm vi hợp đồng dân sự, thương mại.</w:t>
            </w:r>
          </w:p>
        </w:tc>
      </w:tr>
      <w:tr w14:paraId="45A4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4E715C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03BA4E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val="vi-VN"/>
              </w:rPr>
              <w:t>5.</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Khuyến khích áp dụng chuyển đổi số, chuyển đổi xanh, kinh tế tuần hoàn và phát triển bền vững</w:t>
            </w:r>
          </w:p>
        </w:tc>
        <w:tc>
          <w:tcPr>
            <w:tcW w:w="1898" w:type="dxa"/>
          </w:tcPr>
          <w:p w14:paraId="7B31029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Công thương</w:t>
            </w:r>
          </w:p>
        </w:tc>
        <w:tc>
          <w:tcPr>
            <w:tcW w:w="5475" w:type="dxa"/>
          </w:tcPr>
          <w:p w14:paraId="223CB0D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Đ</w:t>
            </w:r>
            <w:r>
              <w:rPr>
                <w:rFonts w:hint="default" w:ascii="Times New Roman" w:hAnsi="Times New Roman" w:cs="Times New Roman"/>
                <w:sz w:val="26"/>
                <w:szCs w:val="26"/>
              </w:rPr>
              <w:t>ề nghị sửa đổi, bổ sung như sau: “Khuyến khích áp dụng truy xuất nguồn gốc, chuyển đổi số, chuyển đổi xanh, kinh tế tuần hoàn và phát triển bền vững.”</w:t>
            </w:r>
          </w:p>
        </w:tc>
        <w:tc>
          <w:tcPr>
            <w:tcW w:w="4567" w:type="dxa"/>
          </w:tcPr>
          <w:p w14:paraId="0D59B5E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một phần.</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Chỉnh lý khoản 5 theo hướng bổ sung truy xuất nguồn gốc, chuyển đổi số, chuyển đổi xanh, kinh tế tuần hoàn; khuyến khích minh bạch và dữ liệu chuỗi nhưng không quy định bắt buộc, bảo đảm tính khả thi.</w:t>
            </w:r>
          </w:p>
        </w:tc>
      </w:tr>
      <w:tr w14:paraId="3FCAD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83D891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BC1760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67DA8EC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UBND Thành phố Huế </w:t>
            </w:r>
          </w:p>
        </w:tc>
        <w:tc>
          <w:tcPr>
            <w:tcW w:w="5475" w:type="dxa"/>
          </w:tcPr>
          <w:p w14:paraId="46A3B7F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Tại Điều 4: Bổ sung quy định về "Trách nhiệm bồi thường" tại Khoản 2 khi các bên vi phạm hợp đồng liên kết (như tự ý phá kèo, bỏ thu mua) nhằm tăng tính ràng buộc pháp lý. </w:t>
            </w:r>
          </w:p>
        </w:tc>
        <w:tc>
          <w:tcPr>
            <w:tcW w:w="4567" w:type="dxa"/>
          </w:tcPr>
          <w:p w14:paraId="11D552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bổ sung riêng quy định về “trách nhiệm bồi thường” tại Điều 4, do đây là điều khoản quy định nguyên tắc phát triển liên kết chuỗi giá trị, không phải điều khoản điều chỉnh quan hệ hợp đồng cụ thể. Trách nhiệm bồi thường thiệt hại, xử lý vi phạm hợp đồng, phạt vi phạm hoặc bồi thường khi một bên không thực hiện nghĩa vụ đã được điều chỉnh bởi Bộ luật Dân sự, Luật Thương mại và nội dung hợp đồng/thỏa thuận giữa các bên.</w:t>
            </w:r>
          </w:p>
          <w:p w14:paraId="50B903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Tuy nhiên, Ban soạn thảo sẽ rà soát, bổ sung tại quy định về hợp đồng liên kết theo hướng khuyến khích các bên thỏa thuận rõ về trách nhiệm thực hiện cam kết, cơ chế xử lý vi phạm, bồi thường thiệt hại, chia sẻ rủi ro và giải quyết tranh chấp, nhằm tăng tính khả thi và ổn định của liên kết chuỗi giá trị trong thực tiễn.</w:t>
            </w:r>
          </w:p>
        </w:tc>
      </w:tr>
      <w:tr w14:paraId="68B6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DE8E01B">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09EA1CA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755A69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Văn phòng Điều phối nông thôn mới Trung </w:t>
            </w:r>
            <w:r>
              <w:rPr>
                <w:rFonts w:hint="default" w:ascii="Times New Roman" w:hAnsi="Times New Roman" w:cs="Times New Roman"/>
                <w:sz w:val="26"/>
                <w:szCs w:val="26"/>
                <w:lang w:val="vi-VN"/>
              </w:rPr>
              <w:t>ương; Bộ Khoa học và Công nghệ</w:t>
            </w:r>
          </w:p>
        </w:tc>
        <w:tc>
          <w:tcPr>
            <w:tcW w:w="5475" w:type="dxa"/>
          </w:tcPr>
          <w:p w14:paraId="27DEA0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Về nguyên tắc phát triển liên kết chuỗi giá trị (Điều 4), đề nghị bổ sung 02 hình thức liên kết mới: </w:t>
            </w:r>
          </w:p>
          <w:p w14:paraId="526599F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“Liên kết sản xuất nông nghiệp gắn với phát triển du lịch nông thôn và bảo tồn làng nghề”;</w:t>
            </w:r>
          </w:p>
          <w:p w14:paraId="31D3A5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w:t>
            </w:r>
            <w:r>
              <w:rPr>
                <w:rFonts w:hint="default" w:ascii="Times New Roman" w:hAnsi="Times New Roman" w:cs="Times New Roman"/>
                <w:sz w:val="26"/>
                <w:szCs w:val="26"/>
              </w:rPr>
              <w:t>“Liên kết chuỗi giá trị cần gắn với phát triển sản phẩm có thương hiệu, đặc sản địa phương (OCOP), hướng tới tạo sản phẩm hoàn chỉnh có giá trị gia tăng cao”. Lý do: Đây là xu hướng phát triển bền vững nhằm nâng cao giá trị gia tăng trên một đơn vị diện tích đất canh tác, giúp tiêu thụ nông sản tại chỗ thông qua dịch vụ du lịch và trải nghiệm; tạo động lực để thúc đẩy sản phẩm OCOP phát triển cả về số lượng và chất lượng.</w:t>
            </w:r>
          </w:p>
          <w:p w14:paraId="2896880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"Ưu tiên phát triển các mô hình liên kết dựa trên nền tảng số", để khuyến khích các chủ thể không chỉ liên kết "offline" mà phải hình thành các "chuỗi giá trị số" minh bạch ngay từ khâu đầu vào đến tiêu thụ;</w:t>
            </w:r>
          </w:p>
        </w:tc>
        <w:tc>
          <w:tcPr>
            <w:tcW w:w="4567" w:type="dxa"/>
          </w:tcPr>
          <w:p w14:paraId="31ECE9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Không bổ sung vào Điều 4 vì đây là điều khoản nguyên tắc chung, tránh liệt kê cụ thể mô hình/lĩnh vực; các nội dung này đã được bao hàm trong phát triển kinh tế nông thôn và chương trình chuyên ngành.</w:t>
            </w:r>
          </w:p>
        </w:tc>
      </w:tr>
      <w:tr w14:paraId="2D05C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1A8B5D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0550D8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39F53A7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kern w:val="0"/>
                <w:sz w:val="26"/>
                <w:szCs w:val="26"/>
                <w14:ligatures w14:val="none"/>
              </w:rPr>
              <w:t xml:space="preserve">Công ty Cổ phần Phát triển Tài sản Số </w:t>
            </w:r>
            <w:r>
              <w:rPr>
                <w:rFonts w:hint="default" w:ascii="Times New Roman" w:hAnsi="Times New Roman" w:eastAsia="Times New Roman" w:cs="Times New Roman"/>
                <w:kern w:val="0"/>
                <w:sz w:val="26"/>
                <w:szCs w:val="26"/>
                <w:lang w:val="vi-VN"/>
                <w14:ligatures w14:val="none"/>
              </w:rPr>
              <w:t xml:space="preserve">OriginX; </w:t>
            </w:r>
            <w:r>
              <w:rPr>
                <w:rFonts w:hint="default" w:ascii="Times New Roman" w:hAnsi="Times New Roman" w:cs="Times New Roman"/>
                <w:sz w:val="26"/>
                <w:szCs w:val="26"/>
              </w:rPr>
              <w:t xml:space="preserve">Trung tâm Khuyến nông Quốc </w:t>
            </w:r>
            <w:r>
              <w:rPr>
                <w:rFonts w:hint="default" w:ascii="Times New Roman" w:hAnsi="Times New Roman" w:cs="Times New Roman"/>
                <w:sz w:val="26"/>
                <w:szCs w:val="26"/>
                <w:lang w:val="vi-VN"/>
              </w:rPr>
              <w:t>gia; Sở Nông nghiệp và Môi trường tỉnh An Giang.</w:t>
            </w:r>
          </w:p>
        </w:tc>
        <w:tc>
          <w:tcPr>
            <w:tcW w:w="5475" w:type="dxa"/>
          </w:tcPr>
          <w:p w14:paraId="78CA5B9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bCs/>
                <w:kern w:val="0"/>
                <w:sz w:val="26"/>
                <w:szCs w:val="26"/>
                <w14:ligatures w14:val="none"/>
              </w:rPr>
              <w:t>1. Bổ sung nguyên tắc ràng buộc:</w:t>
            </w:r>
          </w:p>
          <w:p w14:paraId="0627E4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iCs/>
                <w:kern w:val="0"/>
                <w:sz w:val="26"/>
                <w:szCs w:val="26"/>
                <w14:ligatures w14:val="none"/>
              </w:rPr>
              <w:t>"Liên kết chuỗi giá trị phải gắn với cơ chế ràng buộc lợi ích và trách nhiệm tài chính giữa các bên tham gia."</w:t>
            </w:r>
          </w:p>
          <w:p w14:paraId="437220B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bCs/>
                <w:kern w:val="0"/>
                <w:sz w:val="26"/>
                <w:szCs w:val="26"/>
                <w14:ligatures w14:val="none"/>
              </w:rPr>
              <w:t>2. Bổ sung nội dung về kỷ luật thực thi chuỗi:</w:t>
            </w:r>
          </w:p>
          <w:p w14:paraId="0C5D78B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iCs/>
                <w:kern w:val="0"/>
                <w:sz w:val="26"/>
                <w:szCs w:val="26"/>
                <w14:ligatures w14:val="none"/>
              </w:rPr>
              <w:t>"Các bên tham gia liên kết có trách nhiệm thực hiện đầy đủ nghĩa vụ theo hợp đồng; việc chia sẻ lợi ích và rủi ro phải được xác lập trên cơ sở các cam kết có thể kiểm chứng và thực thi."</w:t>
            </w:r>
          </w:p>
          <w:p w14:paraId="78EC46A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bCs/>
                <w:kern w:val="0"/>
                <w:sz w:val="26"/>
                <w:szCs w:val="26"/>
                <w14:ligatures w14:val="none"/>
              </w:rPr>
              <w:t>3. Bổ sung nguyên tắc gắn với dữ liệu và minh bạch:</w:t>
            </w:r>
          </w:p>
          <w:p w14:paraId="61B08C9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iCs/>
                <w:kern w:val="0"/>
                <w:sz w:val="26"/>
                <w:szCs w:val="26"/>
                <w:lang w:val="vi-VN"/>
                <w14:ligatures w14:val="none"/>
              </w:rPr>
            </w:pPr>
            <w:r>
              <w:rPr>
                <w:rFonts w:hint="default" w:ascii="Times New Roman" w:hAnsi="Times New Roman" w:eastAsia="Times New Roman" w:cs="Times New Roman"/>
                <w:iCs/>
                <w:kern w:val="0"/>
                <w:sz w:val="26"/>
                <w:szCs w:val="26"/>
                <w14:ligatures w14:val="none"/>
              </w:rPr>
              <w:t>"Liên kết chuỗi giá trị phải được hỗ trợ bởi hệ thống dữ liệu nhằm bảo đảm tính minh bạch, khả năng kiểm chứng và giám sát trong toàn bộ quá trình sản xuất và tiêu thụ."</w:t>
            </w:r>
            <w:r>
              <w:rPr>
                <w:rFonts w:hint="default" w:ascii="Times New Roman" w:hAnsi="Times New Roman" w:eastAsia="Times New Roman" w:cs="Times New Roman"/>
                <w:iCs/>
                <w:kern w:val="0"/>
                <w:sz w:val="26"/>
                <w:szCs w:val="26"/>
                <w:lang w:val="vi-VN"/>
                <w14:ligatures w14:val="none"/>
              </w:rPr>
              <w:t>.</w:t>
            </w:r>
          </w:p>
          <w:p w14:paraId="17358CF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bổ sung nguyên tắc: Bảo đảm công khai, minh bạch thông tin trong chuỗi giá trị, đặc biệt về giá cả, chất lượng và truy xuất nguồn gốc sản phẩm.</w:t>
            </w:r>
          </w:p>
          <w:p w14:paraId="0FD04D6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w:t>
            </w:r>
            <w:r>
              <w:rPr>
                <w:rFonts w:hint="default" w:ascii="Times New Roman" w:hAnsi="Times New Roman" w:cs="Times New Roman"/>
                <w:kern w:val="0"/>
                <w:sz w:val="26"/>
                <w:szCs w:val="26"/>
                <w:lang w:val="vi-VN"/>
              </w:rPr>
              <w:t xml:space="preserve"> </w:t>
            </w:r>
            <w:r>
              <w:rPr>
                <w:rFonts w:hint="default" w:ascii="Times New Roman" w:hAnsi="Times New Roman" w:cs="Times New Roman"/>
                <w:sz w:val="26"/>
                <w:szCs w:val="26"/>
                <w:lang w:val="vi-VN"/>
              </w:rPr>
              <w:t>Đề nghị bổ sung Khoản: “Tuân thủ quy định pháp luật về chất lượng vật tư nông nghiệp, an toàn thực phẩm, kiểm dịch thực vật, bảo vệ môi trường”.(</w:t>
            </w:r>
            <w:r>
              <w:rPr>
                <w:rFonts w:hint="default" w:ascii="Times New Roman" w:hAnsi="Times New Roman" w:cs="Times New Roman"/>
                <w:sz w:val="26"/>
                <w:szCs w:val="26"/>
              </w:rPr>
              <w:t xml:space="preserve"> Lý do: Phù hợp chức năng quản lý ngành và yêu cầu thị trường.</w:t>
            </w:r>
            <w:r>
              <w:rPr>
                <w:rFonts w:hint="default" w:ascii="Times New Roman" w:hAnsi="Times New Roman" w:cs="Times New Roman"/>
                <w:sz w:val="26"/>
                <w:szCs w:val="26"/>
                <w:lang w:val="vi-VN"/>
              </w:rPr>
              <w:t>)</w:t>
            </w:r>
          </w:p>
        </w:tc>
        <w:tc>
          <w:tcPr>
            <w:tcW w:w="4567" w:type="dxa"/>
          </w:tcPr>
          <w:p w14:paraId="453568E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Về r</w:t>
            </w:r>
            <w:r>
              <w:rPr>
                <w:rFonts w:hint="default" w:ascii="Times New Roman" w:hAnsi="Times New Roman" w:cs="Times New Roman"/>
                <w:sz w:val="26"/>
                <w:szCs w:val="26"/>
                <w:lang w:val="vi-VN"/>
              </w:rPr>
              <w:t>àng buộc lợi ích, trách nhiệm và thực thi cam kết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Tiếp thu theo hướng nhấn mạnh hài hòa lợi ích, chia sẻ rủi ro và trách nhiệm thực hiện cam kết; </w:t>
            </w:r>
            <w:r>
              <w:rPr>
                <w:rFonts w:hint="default" w:ascii="Times New Roman" w:hAnsi="Times New Roman" w:cs="Times New Roman"/>
                <w:sz w:val="26"/>
                <w:szCs w:val="26"/>
                <w:lang w:val="en-US"/>
              </w:rPr>
              <w:t xml:space="preserve">tuy nhiên </w:t>
            </w:r>
            <w:r>
              <w:rPr>
                <w:rFonts w:hint="default" w:ascii="Times New Roman" w:hAnsi="Times New Roman" w:cs="Times New Roman"/>
                <w:sz w:val="26"/>
                <w:szCs w:val="26"/>
                <w:lang w:val="vi-VN"/>
              </w:rPr>
              <w:t>không quy định chi tiết trách nhiệm tài chính, chế tài hay kiểm chứng cam kết tại Điều 4 do thuộc nội dung hợp đồng và pháp luật dân sự, thương mại.</w:t>
            </w:r>
          </w:p>
          <w:p w14:paraId="5E6695A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Về d</w:t>
            </w:r>
            <w:r>
              <w:rPr>
                <w:rFonts w:hint="default" w:ascii="Times New Roman" w:hAnsi="Times New Roman" w:cs="Times New Roman"/>
                <w:sz w:val="26"/>
                <w:szCs w:val="26"/>
                <w:lang w:val="vi-VN"/>
              </w:rPr>
              <w:t xml:space="preserve">ữ liệu, minh bạch và </w:t>
            </w:r>
            <w:r>
              <w:rPr>
                <w:rFonts w:hint="default" w:ascii="Times New Roman" w:hAnsi="Times New Roman" w:cs="Times New Roman"/>
                <w:sz w:val="26"/>
                <w:szCs w:val="26"/>
                <w:lang w:val="en-US"/>
              </w:rPr>
              <w:t xml:space="preserve">TXNG: </w:t>
            </w:r>
          </w:p>
          <w:p w14:paraId="27837C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theo hướng khuyến khích truy xuất nguồn gốc, chuyển đổi số, minh bạch thông tin trong chuỗi; không quy định bắt buộc hệ thống dữ liệu hoặc công khai toàn bộ thông tin nhằm bảo đảm tính khả thi và bảo vệ bí mật kinh doanh.</w:t>
            </w:r>
          </w:p>
          <w:p w14:paraId="387AAD6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Về quy định t</w:t>
            </w:r>
            <w:r>
              <w:rPr>
                <w:rFonts w:hint="default" w:ascii="Times New Roman" w:hAnsi="Times New Roman" w:cs="Times New Roman"/>
                <w:sz w:val="26"/>
                <w:szCs w:val="26"/>
                <w:lang w:val="vi-VN"/>
              </w:rPr>
              <w:t>uân thủ pháp luật chuyên ngành</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Không bổ sung thành khoản riêng do các yêu cầu về chất lượng vật tư, an toàn thực phẩm, kiểm dịch, môi trường đã được điều chỉnh đầy đủ trong pháp luật chuyên ngành</w:t>
            </w:r>
            <w:r>
              <w:rPr>
                <w:rFonts w:hint="default" w:ascii="Times New Roman" w:hAnsi="Times New Roman" w:cs="Times New Roman"/>
                <w:sz w:val="26"/>
                <w:szCs w:val="26"/>
                <w:lang w:val="en-US"/>
              </w:rPr>
              <w:t>.</w:t>
            </w:r>
          </w:p>
        </w:tc>
      </w:tr>
      <w:tr w14:paraId="682A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6510610">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6D6252E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lang w:val="vi-VN"/>
              </w:rPr>
              <w:t xml:space="preserve">Điều 5. </w:t>
            </w:r>
            <w:r>
              <w:rPr>
                <w:rFonts w:hint="default" w:ascii="Times New Roman" w:hAnsi="Times New Roman" w:cs="Times New Roman"/>
                <w:b/>
                <w:bCs/>
                <w:sz w:val="26"/>
                <w:szCs w:val="26"/>
              </w:rPr>
              <w:t>Tổ chức vận hành chuỗi giá trị</w:t>
            </w:r>
          </w:p>
        </w:tc>
        <w:tc>
          <w:tcPr>
            <w:tcW w:w="1898" w:type="dxa"/>
          </w:tcPr>
          <w:p w14:paraId="70133F8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2D78451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79FFDF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4BD4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75454BD">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07B7FD9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41C400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Viện Chiến lược, Chính sách nông nghiệp và môi trường</w:t>
            </w:r>
          </w:p>
        </w:tc>
        <w:tc>
          <w:tcPr>
            <w:tcW w:w="5475" w:type="dxa"/>
            <w:shd w:val="clear" w:color="auto" w:fill="auto"/>
            <w:vAlign w:val="top"/>
          </w:tcPr>
          <w:p w14:paraId="1BEEFB2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Điều 5 không cần thiết vì không nên quy định cứng về các mô hình liên kết trách nhiệm của từng tác nhân trong mỗi trong liên kết. Trong thực tế vai trò của mỗi loại tác nhân là rất khác nhau trong mỗi loại mùi liên kết. Điều 5 hiện tại chỉ có tính chất hướng dẫn vì vậy không nên đưa vào trong quy định.</w:t>
            </w:r>
          </w:p>
        </w:tc>
        <w:tc>
          <w:tcPr>
            <w:tcW w:w="4567" w:type="dxa"/>
          </w:tcPr>
          <w:p w14:paraId="747EDB8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tiếp thu, do cần có quy định mang tính khung về tổ chức và vận hành liên kết chuỗi giá trị để làm cơ sở nhận diện liên kết thực chất, xác định chủ trì liên kết, trách nhiệm phối hợp giữa các bên và phục vụ xem xét hỗ trợ theo Nghị định. Nếu không có quy định này sẽ khó thống nhất trong tổ chức thực hiện giữa các địa phương, đồng thời khó phân biệt giữa liên kết chuỗi giá trị với quan hệ mua bán đơn thuần.</w:t>
            </w:r>
          </w:p>
        </w:tc>
      </w:tr>
      <w:tr w14:paraId="37F6A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6FD70D8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3CBCB00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1. Tổ chức chuỗi giá trị</w:t>
            </w:r>
          </w:p>
          <w:p w14:paraId="6F3440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42AC9BC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eastAsia="Times New Roman" w:cs="Times New Roman"/>
                <w:kern w:val="0"/>
                <w:sz w:val="26"/>
                <w:szCs w:val="26"/>
                <w14:ligatures w14:val="none"/>
              </w:rPr>
              <w:t>Công ty Cổ phần Phát triển Tài sản Số OriginX</w:t>
            </w:r>
          </w:p>
        </w:tc>
        <w:tc>
          <w:tcPr>
            <w:tcW w:w="5475" w:type="dxa"/>
          </w:tcPr>
          <w:p w14:paraId="1274BA7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kern w:val="0"/>
                <w:sz w:val="26"/>
                <w:szCs w:val="26"/>
                <w14:ligatures w14:val="none"/>
              </w:rPr>
              <w:t>Đề nghị sửa đổi khoản 1 Điều 5 như sau:</w:t>
            </w:r>
          </w:p>
          <w:p w14:paraId="72E19BC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eastAsia="Times New Roman" w:cs="Times New Roman"/>
                <w:i/>
                <w:iCs/>
                <w:kern w:val="0"/>
                <w:sz w:val="26"/>
                <w:szCs w:val="26"/>
                <w14:ligatures w14:val="none"/>
              </w:rPr>
              <w:t>"Chuỗi giá trị nông nghiệp được tổ chức trên cơ sở xác định rõ các chủ thể tham gia, vai trò và trách nhiệm của từng chủ thể; gắn với phát triển vùng nguyên liệu, tiêu chuẩn chất lượng, truy xuất nguồn gốc và yêu cầu của thị trường; đồng thời bảo đảm tổ chức và vận hành đầy đủ các dòng trong chuỗi, bao gồm: (1) dòng hàng hóa; (2) dòng dữ liệu; (3) dòng tài chính."</w:t>
            </w:r>
          </w:p>
        </w:tc>
        <w:tc>
          <w:tcPr>
            <w:tcW w:w="4567" w:type="dxa"/>
          </w:tcPr>
          <w:p w14:paraId="542203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đề nghị bổ sung yêu cầu chuỗi phải bảo đảm vận hành đầy đủ dòng hàng hóa, dòng dữ liệu và dòng tài chính. Quy định này mang tính quản trị chuỗi, kỹ thuật vận hành, phù hợp với tài liệu hướng dẫn hoặc mô hình quản trị hơn là quy phạm pháp luật.</w:t>
            </w:r>
          </w:p>
          <w:p w14:paraId="09ECBB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Nội hàm về dữ liệu, tài chính và vận hành chuỗi đã được thể hiện gián tiếp trong các quy định về hợp đồng liên kết, truy xuất nguồn gốc, chia sẻ lợi ích, rủi ro và chính sách hỗ trợ chuyển đổi số của dự thảo Nghị định.</w:t>
            </w:r>
          </w:p>
        </w:tc>
      </w:tr>
      <w:tr w14:paraId="16729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6A584BD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0EE8516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64AF6F4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kern w:val="0"/>
                <w:sz w:val="26"/>
                <w:szCs w:val="26"/>
                <w14:ligatures w14:val="none"/>
              </w:rPr>
              <w:t>PGS.TS Chu Tiến Quang</w:t>
            </w:r>
          </w:p>
        </w:tc>
        <w:tc>
          <w:tcPr>
            <w:tcW w:w="5475" w:type="dxa"/>
          </w:tcPr>
          <w:p w14:paraId="1B5E76A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Cần coi liên kết ngang giữa nông dân, tổ hợp tác, HTX là nền tảng hình thành vùng nguyên liệu; trên cơ sở đó phát triển liên kết dọc với doanh nghiệp.</w:t>
            </w:r>
          </w:p>
        </w:tc>
        <w:tc>
          <w:tcPr>
            <w:tcW w:w="4567" w:type="dxa"/>
          </w:tcPr>
          <w:p w14:paraId="19D17FC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Chỉnh lý nội dung về tổ chức chuỗi giá trị, nhấn mạnh vai trò của liên kết ngang trong phát triển vùng nguyên liệu.</w:t>
            </w:r>
          </w:p>
        </w:tc>
      </w:tr>
      <w:tr w14:paraId="6B9FD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A3F9FE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CE19C0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a) </w:t>
            </w:r>
            <w:r>
              <w:rPr>
                <w:rFonts w:hint="default" w:ascii="Times New Roman" w:hAnsi="Times New Roman" w:eastAsia="Times New Roman" w:cs="Times New Roman"/>
                <w:sz w:val="26"/>
                <w:szCs w:val="26"/>
                <w:lang w:val="vi-VN"/>
              </w:rPr>
              <w:t xml:space="preserve">Chuỗi giá trị nông nghiệp được tổ chức trên cơ sở xác định rõ các chủ thể tham gia, vai trò và trách nhiệm của từng chủ thể; gắn với </w:t>
            </w:r>
            <w:r>
              <w:rPr>
                <w:rFonts w:hint="default" w:ascii="Times New Roman" w:hAnsi="Times New Roman" w:eastAsia="Times New Roman" w:cs="Times New Roman"/>
                <w:sz w:val="26"/>
                <w:szCs w:val="26"/>
              </w:rPr>
              <w:t xml:space="preserve">phát triển </w:t>
            </w:r>
            <w:r>
              <w:rPr>
                <w:rFonts w:hint="default" w:ascii="Times New Roman" w:hAnsi="Times New Roman" w:eastAsia="Times New Roman" w:cs="Times New Roman"/>
                <w:sz w:val="26"/>
                <w:szCs w:val="26"/>
                <w:lang w:val="vi-VN"/>
              </w:rPr>
              <w:t>vùng nguyên liệu, tiêu chuẩn chất lượng, truy xuất nguồn gốc và yêu cầu của thị trường.</w:t>
            </w:r>
          </w:p>
        </w:tc>
        <w:tc>
          <w:tcPr>
            <w:tcW w:w="1898" w:type="dxa"/>
          </w:tcPr>
          <w:p w14:paraId="362B50E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Viện Chiến lược, Chính sách nông nghiệp và môi trường</w:t>
            </w:r>
          </w:p>
        </w:tc>
        <w:tc>
          <w:tcPr>
            <w:tcW w:w="5475" w:type="dxa"/>
          </w:tcPr>
          <w:p w14:paraId="36CB3C4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Điểm a </w:t>
            </w:r>
            <w:r>
              <w:rPr>
                <w:rFonts w:hint="default" w:ascii="Times New Roman" w:hAnsi="Times New Roman" w:cs="Times New Roman"/>
                <w:sz w:val="26"/>
                <w:szCs w:val="26"/>
                <w:lang w:val="en-US"/>
              </w:rPr>
              <w:t>K</w:t>
            </w:r>
            <w:r>
              <w:rPr>
                <w:rFonts w:hint="default" w:ascii="Times New Roman" w:hAnsi="Times New Roman" w:cs="Times New Roman"/>
                <w:sz w:val="26"/>
                <w:szCs w:val="26"/>
              </w:rPr>
              <w:t xml:space="preserve">hoản </w:t>
            </w:r>
            <w:r>
              <w:rPr>
                <w:rFonts w:hint="default" w:ascii="Times New Roman" w:hAnsi="Times New Roman" w:cs="Times New Roman"/>
                <w:sz w:val="26"/>
                <w:szCs w:val="26"/>
                <w:lang w:val="en-US"/>
              </w:rPr>
              <w:t>1</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Đ</w:t>
            </w:r>
            <w:r>
              <w:rPr>
                <w:rFonts w:hint="default" w:ascii="Times New Roman" w:hAnsi="Times New Roman" w:cs="Times New Roman"/>
                <w:sz w:val="26"/>
                <w:szCs w:val="26"/>
              </w:rPr>
              <w:t>iều 5 liên kết chuỗi giá trị không chỉ có trong vùng nguyên liệu mà còn xảy ra ở bên ngoài vùng nguyên liệu quy định như điểm a khoản một điều 5 thì chỉ có liên kết chuỗi giá trị trong vùng nguyên liệu.</w:t>
            </w:r>
          </w:p>
        </w:tc>
        <w:tc>
          <w:tcPr>
            <w:tcW w:w="4567" w:type="dxa"/>
          </w:tcPr>
          <w:p w14:paraId="489FD3A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Thống nhất ý kiến cho rằng liên kết chuỗi giá trị không chỉ diễn ra trong vùng nguyên liệu tập trung, mà còn có các mô hình liên kết phân tán, theo đơn hàng hoặc mùa vụ. Tuy nhiên, điều chỉnh theo hướng khuyến khích liên kết gắn với phát triển vùng nguyên liệu, nhằm ổn định nguồn cung, kiểm soát chất lượng, truy xuất nguồn gốc và đáp ứng yêu cầu thị trường, nhất là đối với các ngành hàng chủ lực, xuất khẩu.</w:t>
            </w:r>
          </w:p>
        </w:tc>
      </w:tr>
      <w:tr w14:paraId="5D113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37B891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45479DF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rPr>
              <w:t xml:space="preserve">b) </w:t>
            </w:r>
            <w:r>
              <w:rPr>
                <w:rFonts w:hint="default" w:ascii="Times New Roman" w:hAnsi="Times New Roman" w:eastAsia="Times New Roman" w:cs="Times New Roman"/>
                <w:sz w:val="26"/>
                <w:szCs w:val="26"/>
                <w:lang w:val="vi-VN"/>
              </w:rPr>
              <w:t>Quan hệ giữa các chủ thể được thiết lập thông qua hợp đồng hoặc thỏa thuận bằng văn bản, bảo đảm phân chia lợi ích và chia sẻ rủi ro; khuyến khích áp dụng khoa học công nghệ, chuyển đổi số và các phương thức quản trị hiện đại.</w:t>
            </w:r>
          </w:p>
        </w:tc>
        <w:tc>
          <w:tcPr>
            <w:tcW w:w="1898" w:type="dxa"/>
          </w:tcPr>
          <w:p w14:paraId="6784A9D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Học viện nông nghiệp Việt Nam</w:t>
            </w:r>
          </w:p>
        </w:tc>
        <w:tc>
          <w:tcPr>
            <w:tcW w:w="5475" w:type="dxa"/>
          </w:tcPr>
          <w:p w14:paraId="1AE1149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Đề nghị: </w:t>
            </w:r>
            <w:r>
              <w:rPr>
                <w:rFonts w:hint="default" w:ascii="Times New Roman" w:hAnsi="Times New Roman" w:cs="Times New Roman"/>
                <w:sz w:val="26"/>
                <w:szCs w:val="26"/>
              </w:rPr>
              <w:t>Bổ sung nội dung “quyền quyết định” vào |điểm này.</w:t>
            </w:r>
          </w:p>
          <w:p w14:paraId="67742FB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Lý do: B</w:t>
            </w:r>
            <w:r>
              <w:rPr>
                <w:rFonts w:hint="default" w:ascii="Times New Roman" w:hAnsi="Times New Roman" w:cs="Times New Roman"/>
                <w:sz w:val="26"/>
                <w:szCs w:val="26"/>
              </w:rPr>
              <w:t>ên cạnh chia sẻ lợi ích, rủi ro thì phân chia “quyền quyết định” của các bên tham gia liên kết cũng là nội dung quan trọng ảnh hưởng đến kết quả và hiệu quả liên kết.</w:t>
            </w:r>
          </w:p>
        </w:tc>
        <w:tc>
          <w:tcPr>
            <w:tcW w:w="4567" w:type="dxa"/>
          </w:tcPr>
          <w:p w14:paraId="6F564E9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 xml:space="preserve">hông </w:t>
            </w:r>
            <w:r>
              <w:rPr>
                <w:rFonts w:hint="default" w:ascii="Times New Roman" w:hAnsi="Times New Roman" w:cs="Times New Roman"/>
                <w:sz w:val="26"/>
                <w:szCs w:val="26"/>
                <w:lang w:val="en-US"/>
              </w:rPr>
              <w:t>tiếp thu</w:t>
            </w:r>
            <w:r>
              <w:rPr>
                <w:rFonts w:hint="default" w:ascii="Times New Roman" w:hAnsi="Times New Roman" w:cs="Times New Roman"/>
                <w:sz w:val="26"/>
                <w:szCs w:val="26"/>
                <w:lang w:val="vi-VN"/>
              </w:rPr>
              <w:t>, do quyền quyết định của các bên phụ thuộc vào nội dung hợp đồng, mức độ tham gia, đóng góp nguồn lực và đặc thù từng mô hình liên kết; nếu quy định cứng trong Nghị định có thể làm giảm tính linh hoạt trong tổ chức chuỗi.</w:t>
            </w:r>
          </w:p>
        </w:tc>
      </w:tr>
      <w:tr w14:paraId="3DA4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142A1F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44B71B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2. Vai trò chính của các chủ thể</w:t>
            </w:r>
          </w:p>
        </w:tc>
        <w:tc>
          <w:tcPr>
            <w:tcW w:w="1898" w:type="dxa"/>
          </w:tcPr>
          <w:p w14:paraId="2D5576A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tỉnh Vĩnh Long</w:t>
            </w:r>
            <w:r>
              <w:rPr>
                <w:rFonts w:hint="default" w:ascii="Times New Roman" w:hAnsi="Times New Roman" w:cs="Times New Roman"/>
                <w:sz w:val="26"/>
                <w:szCs w:val="26"/>
              </w:rPr>
              <w:t xml:space="preserve">; UBND </w:t>
            </w:r>
            <w:r>
              <w:rPr>
                <w:rFonts w:hint="default" w:ascii="Times New Roman" w:hAnsi="Times New Roman" w:cs="Times New Roman"/>
                <w:sz w:val="26"/>
                <w:szCs w:val="26"/>
                <w:lang w:val="en-US"/>
              </w:rPr>
              <w:t xml:space="preserve">TP. </w:t>
            </w:r>
            <w:r>
              <w:rPr>
                <w:rFonts w:hint="default" w:ascii="Times New Roman" w:hAnsi="Times New Roman" w:cs="Times New Roman"/>
                <w:sz w:val="26"/>
                <w:szCs w:val="26"/>
              </w:rPr>
              <w:t>Huế</w:t>
            </w:r>
          </w:p>
        </w:tc>
        <w:tc>
          <w:tcPr>
            <w:tcW w:w="5475" w:type="dxa"/>
          </w:tcPr>
          <w:p w14:paraId="42B5DF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X</w:t>
            </w:r>
            <w:r>
              <w:rPr>
                <w:rFonts w:hint="default" w:ascii="Times New Roman" w:hAnsi="Times New Roman" w:cs="Times New Roman"/>
                <w:sz w:val="26"/>
                <w:szCs w:val="26"/>
              </w:rPr>
              <w:t>em xét sửa đổi và bổ sung nội dung vai trò chính của các chủ thể đảm bảo đầy đủ và cụ thể: Các chủ thể tham gia theo quy định tại khoản 1 Điều 3 để tổ chức thực hiện phù hợp đồng thời cần quy định chi tiết "lộ trình thu hồi kinh phí hỗ trợ" và các biện pháp chế tài phi tài chính (như hạ điểm tín nhiệm doanh nghiệp) để đảm bảo tính thực thi</w:t>
            </w:r>
            <w:r>
              <w:rPr>
                <w:rFonts w:hint="default" w:ascii="Times New Roman" w:hAnsi="Times New Roman" w:cs="Times New Roman"/>
                <w:sz w:val="26"/>
                <w:szCs w:val="26"/>
                <w:lang w:val="en-US"/>
              </w:rPr>
              <w:t>.</w:t>
            </w:r>
          </w:p>
        </w:tc>
        <w:tc>
          <w:tcPr>
            <w:tcW w:w="4567" w:type="dxa"/>
          </w:tcPr>
          <w:p w14:paraId="56455A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quy định về lộ trình thu hồi kinh phí hỗ trợ và các chế tài phi tài chính (như hạ điểm tín nhiệm doanh nghiệp). Lí do: nội dung này thuộc phạm vi xử lý vi phạm, quản lý sử dụng ngân sách nhà nước và cơ chế quản lý doanh nghiệp, cần tuân thủ pháp luật chuyên ngành và vượt phạm vi điều chỉnh của Khoản 2 Điều 5 về vai trò chủ thể trong chuỗi giá trị. Các nội dung về thu hồi hỗ trợ, xử lý vi phạm hợp đồng và trách nhiệm của các bên đã được quy định tại Điều xử lý vi phạm, giải quyết tranh chấp và pháp luật có liên quan.</w:t>
            </w:r>
          </w:p>
        </w:tc>
      </w:tr>
      <w:tr w14:paraId="1E66F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393C36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9E1739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62E8929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Bộ Công thương</w:t>
            </w:r>
          </w:p>
        </w:tc>
        <w:tc>
          <w:tcPr>
            <w:tcW w:w="5475" w:type="dxa"/>
            <w:shd w:val="clear" w:color="auto" w:fill="auto"/>
            <w:vAlign w:val="top"/>
          </w:tcPr>
          <w:p w14:paraId="4E84B39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Điểm a khoản 2 Điều 5; Đề nghị xem xét lại vai trò chính của các chủ thể như vai trò của Doanh nghiệp, Hợp tác xã do các doanh nghiệp có thể thực hiện được vai trò của HTX và liên hiệp HTX và ngược lại nhằm khuyến khích đối tượng doanh nghiệp tham gia sâu hơn vào hoạt động đầu tư sản xuất nông nghiệp công nghệ.</w:t>
            </w:r>
          </w:p>
        </w:tc>
        <w:tc>
          <w:tcPr>
            <w:tcW w:w="4567" w:type="dxa"/>
          </w:tcPr>
          <w:p w14:paraId="60997E0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Đồng ý với ý kiến về vai trò giao thoa của các chủ thể. Tuy nhiên, không bỏ hoàn toàn quy định về vai trò chính của các chủ thể tại điểm a khoản 2 Điều 5, do cần có định hướng khái quát để nhận diện trách nhiệm và vị trí của các chủ thể trong tổ chức chuỗi giá trị, làm cơ sở tổ chức thực hiện và xem xét hỗ trợ theo Nghị định.</w:t>
            </w:r>
          </w:p>
          <w:p w14:paraId="71209D5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Đồng thời, tiếp thu theo hướng chỉnh lý quy định theo hướng mở, linh hoạt, không “đóng khung” vai trò của doanh nghiệp, hợp tác xã hoặc liên hiệp hợp tác xã; quy định theo hướng “chủ thể tham gia thực hiện một hoặc nhiều vai trò trong chuỗi giá trị phù hợp với năng lực, chức năng và thỏa thuận liên kết”, qua đó khuyến khích doanh nghiệp tham gia sâu hơn vào đầu tư, tổ chức sản xuất nông nghiệp công nghệ cao và phát triển chuỗi giá trị bền vững.</w:t>
            </w:r>
          </w:p>
        </w:tc>
      </w:tr>
      <w:tr w14:paraId="504D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F8184C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034457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a) Hợp tác xã, liên hiệp hợp tác xã</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tổ chức sản xuất</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tập hợp nông dân</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xây dựng và quản lý vùng nguyên liệu</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cung ứng dịch vụ đầu vào và áp dụng quy trình kỹ thuật thống nhất</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tổ chức sơ chế, chế biến, bảo quản và đại diện cho thành viên liên kết tiêu thụ sản phẩm nông nghiệp;</w:t>
            </w:r>
          </w:p>
        </w:tc>
        <w:tc>
          <w:tcPr>
            <w:tcW w:w="1898" w:type="dxa"/>
          </w:tcPr>
          <w:p w14:paraId="405985A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Sở Nông nghiệp và PTNT tỉnh Cao Bằng</w:t>
            </w:r>
          </w:p>
        </w:tc>
        <w:tc>
          <w:tcPr>
            <w:tcW w:w="5475" w:type="dxa"/>
          </w:tcPr>
          <w:p w14:paraId="4568291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i/>
                <w:iCs/>
                <w:sz w:val="26"/>
                <w:szCs w:val="26"/>
                <w:lang w:val="vi-VN"/>
              </w:rPr>
            </w:pPr>
            <w:r>
              <w:rPr>
                <w:rFonts w:hint="default" w:ascii="Times New Roman" w:hAnsi="Times New Roman" w:cs="Times New Roman"/>
                <w:sz w:val="26"/>
                <w:szCs w:val="26"/>
                <w:lang w:val="vi-VN"/>
              </w:rPr>
              <w:t>Tại các điểm a khoản 2 Điều 5, điểm c khoản 2 Điều 9 và các điểm</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a, b khoản 3 Điều 9 dự thảo Nghị định</w:t>
            </w:r>
            <w:r>
              <w:rPr>
                <w:rFonts w:hint="default" w:ascii="Times New Roman" w:hAnsi="Times New Roman" w:cs="Times New Roman"/>
                <w:sz w:val="26"/>
                <w:szCs w:val="26"/>
              </w:rPr>
              <w:t>, đ</w:t>
            </w:r>
            <w:r>
              <w:rPr>
                <w:rFonts w:hint="default" w:ascii="Times New Roman" w:hAnsi="Times New Roman" w:cs="Times New Roman"/>
                <w:sz w:val="26"/>
                <w:szCs w:val="26"/>
                <w:lang w:val="vi-VN"/>
              </w:rPr>
              <w:t xml:space="preserve">ề nghị rà soát, bỏ cụm từ </w:t>
            </w:r>
            <w:r>
              <w:rPr>
                <w:rFonts w:hint="default" w:ascii="Times New Roman" w:hAnsi="Times New Roman" w:cs="Times New Roman"/>
                <w:i/>
                <w:iCs/>
                <w:sz w:val="26"/>
                <w:szCs w:val="26"/>
                <w:lang w:val="vi-VN"/>
              </w:rPr>
              <w:t xml:space="preserve">“liên minh hợp tác xã” </w:t>
            </w:r>
            <w:r>
              <w:rPr>
                <w:rFonts w:hint="default" w:ascii="Times New Roman" w:hAnsi="Times New Roman" w:cs="Times New Roman"/>
                <w:sz w:val="26"/>
                <w:szCs w:val="26"/>
                <w:lang w:val="vi-VN"/>
              </w:rPr>
              <w:t>để bảo đảm thống nhất</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về thuật ngữ và tránh trùng lặp. Do khoản 1 Điều 2 dự thảo Nghị định đã quy</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định </w:t>
            </w:r>
            <w:r>
              <w:rPr>
                <w:rFonts w:hint="default" w:ascii="Times New Roman" w:hAnsi="Times New Roman" w:cs="Times New Roman"/>
                <w:i/>
                <w:iCs/>
                <w:sz w:val="26"/>
                <w:szCs w:val="26"/>
                <w:lang w:val="vi-VN"/>
              </w:rPr>
              <w:t>“Hợp tác xã, liên hiệp hợp tác xã hoạt động trong lĩnh vực nông nghiệp</w:t>
            </w:r>
            <w:r>
              <w:rPr>
                <w:rFonts w:hint="default" w:ascii="Times New Roman" w:hAnsi="Times New Roman" w:cs="Times New Roman"/>
                <w:i/>
                <w:iCs/>
                <w:sz w:val="26"/>
                <w:szCs w:val="26"/>
              </w:rPr>
              <w:t xml:space="preserve"> </w:t>
            </w:r>
            <w:r>
              <w:rPr>
                <w:rFonts w:hint="default" w:ascii="Times New Roman" w:hAnsi="Times New Roman" w:cs="Times New Roman"/>
                <w:i/>
                <w:iCs/>
                <w:sz w:val="26"/>
                <w:szCs w:val="26"/>
                <w:lang w:val="vi-VN"/>
              </w:rPr>
              <w:t>(sau đây gọi chung là: Hợp tác xã)”</w:t>
            </w:r>
            <w:r>
              <w:rPr>
                <w:rFonts w:hint="default" w:ascii="Times New Roman" w:hAnsi="Times New Roman" w:cs="Times New Roman"/>
                <w:sz w:val="26"/>
                <w:szCs w:val="26"/>
                <w:lang w:val="vi-VN"/>
              </w:rPr>
              <w:t>.</w:t>
            </w:r>
          </w:p>
        </w:tc>
        <w:tc>
          <w:tcPr>
            <w:tcW w:w="4567" w:type="dxa"/>
          </w:tcPr>
          <w:p w14:paraId="47FD024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w:t>
            </w:r>
          </w:p>
        </w:tc>
      </w:tr>
      <w:tr w14:paraId="0482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0108AE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216955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b) Doanh nghiệp</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tổ chức thị trường, thu mua, chế biến, tiêu thụ sản phẩm</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phát triển thương hiệu</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điều phối chuỗi giá trị và tiêu </w:t>
            </w:r>
            <w:r>
              <w:rPr>
                <w:rFonts w:hint="default" w:ascii="Times New Roman" w:hAnsi="Times New Roman" w:eastAsia="Times New Roman" w:cs="Times New Roman"/>
                <w:sz w:val="26"/>
                <w:szCs w:val="26"/>
              </w:rPr>
              <w:t>thụ sản</w:t>
            </w:r>
            <w:r>
              <w:rPr>
                <w:rFonts w:hint="default" w:ascii="Times New Roman" w:hAnsi="Times New Roman" w:eastAsia="Times New Roman" w:cs="Times New Roman"/>
                <w:sz w:val="26"/>
                <w:szCs w:val="26"/>
                <w:lang w:val="vi-VN"/>
              </w:rPr>
              <w:t xml:space="preserve"> phẩm nông nghiệp;</w:t>
            </w:r>
          </w:p>
          <w:p w14:paraId="35ADCF1B">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eastAsia="Times New Roman" w:cs="Times New Roman"/>
                <w:sz w:val="26"/>
                <w:szCs w:val="26"/>
                <w:lang w:val="vi-VN"/>
              </w:rPr>
            </w:pPr>
          </w:p>
        </w:tc>
        <w:tc>
          <w:tcPr>
            <w:tcW w:w="1898" w:type="dxa"/>
          </w:tcPr>
          <w:p w14:paraId="67EF1D1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UBND tỉnh Quảng Trị</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Sở Nông nghiệp và Môi trường</w:t>
            </w:r>
            <w:r>
              <w:rPr>
                <w:rFonts w:hint="default" w:ascii="Times New Roman" w:hAnsi="Times New Roman" w:cs="Times New Roman"/>
                <w:sz w:val="26"/>
                <w:szCs w:val="26"/>
                <w:lang w:val="en-US"/>
              </w:rPr>
              <w:t xml:space="preserve"> các tỉnh, TP:</w:t>
            </w:r>
            <w:r>
              <w:rPr>
                <w:rFonts w:hint="default" w:ascii="Times New Roman" w:hAnsi="Times New Roman" w:cs="Times New Roman"/>
                <w:sz w:val="26"/>
                <w:szCs w:val="26"/>
                <w:lang w:val="vi-VN"/>
              </w:rPr>
              <w:t xml:space="preserve"> Tuyên Quang; TP</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Hải Phòng</w:t>
            </w:r>
            <w:r>
              <w:rPr>
                <w:rFonts w:hint="default" w:ascii="Times New Roman" w:hAnsi="Times New Roman" w:cs="Times New Roman"/>
                <w:sz w:val="26"/>
                <w:szCs w:val="26"/>
                <w:lang w:val="en-US"/>
              </w:rPr>
              <w:t>;</w:t>
            </w:r>
            <w:r>
              <w:rPr>
                <w:rFonts w:hint="default" w:ascii="Times New Roman" w:hAnsi="Times New Roman" w:eastAsia="Times New Roman" w:cs="Times New Roman"/>
                <w:kern w:val="0"/>
                <w:sz w:val="26"/>
                <w:szCs w:val="26"/>
                <w14:ligatures w14:val="none"/>
              </w:rPr>
              <w:t xml:space="preserve"> Công ty </w:t>
            </w:r>
            <w:r>
              <w:rPr>
                <w:rFonts w:hint="default" w:ascii="Times New Roman" w:hAnsi="Times New Roman" w:eastAsia="Times New Roman" w:cs="Times New Roman"/>
                <w:kern w:val="0"/>
                <w:sz w:val="26"/>
                <w:szCs w:val="26"/>
                <w:lang w:val="en-US"/>
                <w14:ligatures w14:val="none"/>
              </w:rPr>
              <w:t>CP</w:t>
            </w:r>
            <w:r>
              <w:rPr>
                <w:rFonts w:hint="default" w:ascii="Times New Roman" w:hAnsi="Times New Roman" w:eastAsia="Times New Roman" w:cs="Times New Roman"/>
                <w:kern w:val="0"/>
                <w:sz w:val="26"/>
                <w:szCs w:val="26"/>
                <w14:ligatures w14:val="none"/>
              </w:rPr>
              <w:t xml:space="preserve"> Phát triển Tài sản Số </w:t>
            </w:r>
            <w:r>
              <w:rPr>
                <w:rFonts w:hint="default" w:ascii="Times New Roman" w:hAnsi="Times New Roman" w:eastAsia="Times New Roman" w:cs="Times New Roman"/>
                <w:kern w:val="0"/>
                <w:sz w:val="26"/>
                <w:szCs w:val="26"/>
                <w:lang w:val="vi-VN"/>
                <w14:ligatures w14:val="none"/>
              </w:rPr>
              <w:t>OriginX</w:t>
            </w:r>
            <w:r>
              <w:rPr>
                <w:rFonts w:hint="default" w:ascii="Times New Roman" w:hAnsi="Times New Roman" w:eastAsia="Times New Roman" w:cs="Times New Roman"/>
                <w:kern w:val="0"/>
                <w:sz w:val="26"/>
                <w:szCs w:val="26"/>
                <w:lang w:val="en-US"/>
                <w14:ligatures w14:val="none"/>
              </w:rPr>
              <w:t>.</w:t>
            </w:r>
          </w:p>
        </w:tc>
        <w:tc>
          <w:tcPr>
            <w:tcW w:w="5475" w:type="dxa"/>
          </w:tcPr>
          <w:p w14:paraId="7E254C4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kern w:val="0"/>
                <w:sz w:val="26"/>
                <w:szCs w:val="26"/>
                <w14:ligatures w14:val="none"/>
              </w:rPr>
              <w:t>Đề nghị sửa đổi điểm b thành các nội dung sau</w:t>
            </w:r>
            <w:r>
              <w:rPr>
                <w:rFonts w:hint="default" w:ascii="Times New Roman" w:hAnsi="Times New Roman" w:eastAsia="Times New Roman" w:cs="Times New Roman"/>
                <w:kern w:val="0"/>
                <w:sz w:val="26"/>
                <w:szCs w:val="26"/>
                <w:lang w:val="vi-VN"/>
                <w14:ligatures w14:val="none"/>
              </w:rPr>
              <w:t>:</w:t>
            </w:r>
            <w:r>
              <w:rPr>
                <w:rFonts w:hint="default" w:ascii="Times New Roman" w:hAnsi="Times New Roman" w:eastAsia="Times New Roman" w:cs="Times New Roman"/>
                <w:kern w:val="0"/>
                <w:sz w:val="26"/>
                <w:szCs w:val="26"/>
                <w14:ligatures w14:val="none"/>
              </w:rPr>
              <w:t xml:space="preserve"> </w:t>
            </w:r>
          </w:p>
          <w:p w14:paraId="598AC04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“Doanh nghiệp: tổ chức thị trường, thu mua, chế biến, tiêu thụ sản phẩm; phát triển thương hiệu; điều phối chuỗi giá trị và tiêu thụ sản phẩm nông nghiệp; tổ chức sản xuất; tập hợp nông dân; xây dựng và quản lý vùng nguyên liệu; cung ứng dịch vụ đầu vào và áp dụng quy trình kỹ thuật thống nhất; tổ chức sơ chế, chế biến, bảo quản; có trách nhiệm cam kết thu mua sản phẩm theo hợp đồng liên kết; tham gia cơ chế bảo đảm thực hiện nghĩa vụ tài chính trong chuỗi; thực hiện đầy đủ các cam kết về tiêu thụ sản phẩm theo thỏa thuận với các bên tham gia chuỗi.”</w:t>
            </w:r>
          </w:p>
          <w:p w14:paraId="5B3B025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Lý do: Hiện nay nhiều doanh nghiệp đã trực tiếp tích tụ ruộng đất, tham gia sản xuất nông nghiệp tại địa phương và trực tiếp liên kết với hộ nông dân; doanh nghiệp giữ vai trò trung tâm trong tổ chức sản xuất, điều phối chuỗi và phát triển chuỗi giá trị, không chỉ thực hiện hoạt động thu mua, chế biến và tiêu thụ sản phẩm như quy định tại dự thảo. Đồng thời, khoản 2 Điều 2 của dự thảo cũng xác định doanh nghiệp là chủ trì liên kết, trực tiếp tham gia sản xuất, chế biến, tiêu thụ sản phẩm nông nghiệp.</w:t>
            </w:r>
          </w:p>
        </w:tc>
        <w:tc>
          <w:tcPr>
            <w:tcW w:w="4567" w:type="dxa"/>
          </w:tcPr>
          <w:p w14:paraId="01D5DCC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tiếp thu theo hướng quy định quá chi tiết, liệt kê đầy đủ các vai trò, trách nhiệm và nghĩa vụ tài chính của doanh nghiệp tại điểm b khoản 2 Điều 5, do vai trò của doanh nghiệp rất đa dạng, phụ thuộc vào mô hình liên kết, ngành hàng và thỏa thuận cụ thể giữa các bên</w:t>
            </w:r>
            <w:r>
              <w:rPr>
                <w:rFonts w:hint="default" w:ascii="Times New Roman" w:hAnsi="Times New Roman" w:cs="Times New Roman"/>
                <w:sz w:val="26"/>
                <w:szCs w:val="26"/>
                <w:lang w:val="en-US"/>
              </w:rPr>
              <w:t>.</w:t>
            </w:r>
          </w:p>
          <w:p w14:paraId="4732ECD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Tuy nhiên, tiếp thu theo hướng chỉnh lý mở, quy định doanh nghiệp có thể thực hiện một hoặc nhiều vai trò trong tổ chức sản xuất, phát triển vùng nguyên liệu, cung ứng dịch vụ, thu mua, sơ chế, chế biến, bảo quản, phát triển thị trường và điều phối chuỗi giá trị phù hợp với năng lực và thỏa thuận liên kết, bảo đảm khuyến khích doanh nghiệp tham gia sâu hơn vào phát triển chuỗi giá trị nông nghiệp bền vững.</w:t>
            </w:r>
          </w:p>
        </w:tc>
      </w:tr>
      <w:tr w14:paraId="028F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D2C959E">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11BECDA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3. Mô hình tổ chức vận hành chuỗi giá trị nông nghiệp bền vững</w:t>
            </w:r>
          </w:p>
        </w:tc>
        <w:tc>
          <w:tcPr>
            <w:tcW w:w="1898" w:type="dxa"/>
          </w:tcPr>
          <w:p w14:paraId="0AC0DE5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157B0E2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4567" w:type="dxa"/>
          </w:tcPr>
          <w:p w14:paraId="768A21B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p>
        </w:tc>
      </w:tr>
      <w:tr w14:paraId="0ED5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B9E28A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DAA959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a) Mô hình do doanh nghiệp giữ vai trò trung tâm</w:t>
            </w:r>
            <w:r>
              <w:rPr>
                <w:rFonts w:hint="default" w:ascii="Times New Roman" w:hAnsi="Times New Roman" w:eastAsia="Times New Roman" w:cs="Times New Roman"/>
                <w:sz w:val="26"/>
                <w:szCs w:val="26"/>
              </w:rPr>
              <w:t xml:space="preserve"> (doanh </w:t>
            </w:r>
            <w:r>
              <w:rPr>
                <w:rFonts w:hint="default" w:ascii="Times New Roman" w:hAnsi="Times New Roman" w:eastAsia="Times New Roman" w:cs="Times New Roman"/>
                <w:sz w:val="26"/>
                <w:szCs w:val="26"/>
                <w:lang w:val="vi-VN"/>
              </w:rPr>
              <w:t>nghi</w:t>
            </w:r>
            <w:r>
              <w:rPr>
                <w:rFonts w:hint="default" w:ascii="Times New Roman" w:hAnsi="Times New Roman" w:eastAsia="Times New Roman" w:cs="Times New Roman"/>
                <w:sz w:val="26"/>
                <w:szCs w:val="26"/>
              </w:rPr>
              <w:t>ệp làm chủ trì liên kết)</w:t>
            </w:r>
            <w:r>
              <w:rPr>
                <w:rFonts w:hint="default" w:ascii="Times New Roman" w:hAnsi="Times New Roman" w:eastAsia="Times New Roman" w:cs="Times New Roman"/>
                <w:sz w:val="26"/>
                <w:szCs w:val="26"/>
                <w:lang w:val="vi-VN"/>
              </w:rPr>
              <w:t>, tổ chức và điều phối chuỗi</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eastAsia="vi-VN"/>
              </w:rPr>
              <w:t>và phát triển chuỗi giá trị</w:t>
            </w:r>
            <w:r>
              <w:rPr>
                <w:rFonts w:hint="default" w:ascii="Times New Roman" w:hAnsi="Times New Roman" w:eastAsia="Times New Roman" w:cs="Times New Roman"/>
                <w:sz w:val="26"/>
                <w:szCs w:val="26"/>
                <w:lang w:val="vi-VN"/>
              </w:rPr>
              <w:t>;</w:t>
            </w:r>
          </w:p>
        </w:tc>
        <w:tc>
          <w:tcPr>
            <w:tcW w:w="1898" w:type="dxa"/>
          </w:tcPr>
          <w:p w14:paraId="7439C02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Tuyên Quang</w:t>
            </w:r>
          </w:p>
        </w:tc>
        <w:tc>
          <w:tcPr>
            <w:tcW w:w="5475" w:type="dxa"/>
          </w:tcPr>
          <w:p w14:paraId="668EAE5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làm rõ trách nhiệm của doanh nghiệp trong điều phối chuỗi và tiêu thụ sản phẩm, bảo đảm vai trò của hợp tác xã, hạn chế rủi ro cho người sản xuất.</w:t>
            </w:r>
          </w:p>
        </w:tc>
        <w:tc>
          <w:tcPr>
            <w:tcW w:w="4567" w:type="dxa"/>
          </w:tcPr>
          <w:p w14:paraId="0AC3A67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Vai trò, trách nhiệm của Doanh nghiệp, HTX đã được bổ sung, làm rõ tại Khoản 2, Điều 5. </w:t>
            </w:r>
          </w:p>
        </w:tc>
      </w:tr>
      <w:tr w14:paraId="63C1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85C34DE">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p w14:paraId="501DC0C8">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2079921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val="vi-VN"/>
              </w:rPr>
              <w:t>b) Mô hình do hợp tác xã giữ vai trò trung tâm</w:t>
            </w:r>
            <w:r>
              <w:rPr>
                <w:rFonts w:hint="default" w:ascii="Times New Roman" w:hAnsi="Times New Roman" w:eastAsia="Times New Roman" w:cs="Times New Roman"/>
                <w:sz w:val="26"/>
                <w:szCs w:val="26"/>
              </w:rPr>
              <w:t xml:space="preserve"> (hợp tác xã làm chủ trì liên kết)</w:t>
            </w:r>
            <w:r>
              <w:rPr>
                <w:rFonts w:hint="default" w:ascii="Times New Roman" w:hAnsi="Times New Roman" w:eastAsia="Times New Roman" w:cs="Times New Roman"/>
                <w:sz w:val="26"/>
                <w:szCs w:val="26"/>
                <w:lang w:val="vi-VN"/>
              </w:rPr>
              <w:t xml:space="preserve">, tổ chức sản xuất và liên kết </w:t>
            </w:r>
            <w:r>
              <w:rPr>
                <w:rFonts w:hint="default" w:ascii="Times New Roman" w:hAnsi="Times New Roman" w:eastAsia="Times New Roman" w:cs="Times New Roman"/>
                <w:sz w:val="26"/>
                <w:szCs w:val="26"/>
              </w:rPr>
              <w:t xml:space="preserve">chế biến, </w:t>
            </w:r>
            <w:r>
              <w:rPr>
                <w:rFonts w:hint="default" w:ascii="Times New Roman" w:hAnsi="Times New Roman" w:eastAsia="Times New Roman" w:cs="Times New Roman"/>
                <w:sz w:val="26"/>
                <w:szCs w:val="26"/>
                <w:lang w:val="vi-VN"/>
              </w:rPr>
              <w:t>tiêu thụ</w:t>
            </w:r>
            <w:r>
              <w:rPr>
                <w:rFonts w:hint="default" w:ascii="Times New Roman" w:hAnsi="Times New Roman" w:eastAsia="Times New Roman" w:cs="Times New Roman"/>
                <w:sz w:val="26"/>
                <w:szCs w:val="26"/>
              </w:rPr>
              <w:t xml:space="preserve"> sản phẩm nông nghiệp</w:t>
            </w:r>
            <w:r>
              <w:rPr>
                <w:rFonts w:hint="default" w:ascii="Times New Roman" w:hAnsi="Times New Roman" w:eastAsia="Times New Roman" w:cs="Times New Roman"/>
                <w:sz w:val="26"/>
                <w:szCs w:val="26"/>
                <w:lang w:val="vi-VN"/>
              </w:rPr>
              <w:t>;</w:t>
            </w:r>
          </w:p>
        </w:tc>
        <w:tc>
          <w:tcPr>
            <w:tcW w:w="1898" w:type="dxa"/>
          </w:tcPr>
          <w:p w14:paraId="72E7847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Viện Chiến lược, Chính sách nông nghiệp và môi trường</w:t>
            </w:r>
          </w:p>
        </w:tc>
        <w:tc>
          <w:tcPr>
            <w:tcW w:w="5475" w:type="dxa"/>
          </w:tcPr>
          <w:p w14:paraId="36D1442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Điểm b khoản 3 điều 5 mâu thuẫn với điểm a khoản 2 điều 5 về nội dung tiêu thụ sản phẩm. Tại khoản 2 hợp tác xã không có vai trò trong yếu tố sản phẩm thì tại khoản 3 Hợp tác xã lại có vai trò trong tiêu thụ sản phẩm.</w:t>
            </w:r>
          </w:p>
        </w:tc>
        <w:tc>
          <w:tcPr>
            <w:tcW w:w="4567" w:type="dxa"/>
          </w:tcPr>
          <w:p w14:paraId="152FBF1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bổ sung, điều chỉnh nội dung Đ</w:t>
            </w:r>
            <w:r>
              <w:rPr>
                <w:rFonts w:hint="default" w:ascii="Times New Roman" w:hAnsi="Times New Roman" w:cs="Times New Roman"/>
                <w:sz w:val="26"/>
                <w:szCs w:val="26"/>
              </w:rPr>
              <w:t xml:space="preserve">iểm a </w:t>
            </w:r>
            <w:r>
              <w:rPr>
                <w:rFonts w:hint="default" w:ascii="Times New Roman" w:hAnsi="Times New Roman" w:cs="Times New Roman"/>
                <w:sz w:val="26"/>
                <w:szCs w:val="26"/>
                <w:lang w:val="en-US"/>
              </w:rPr>
              <w:t>K</w:t>
            </w:r>
            <w:r>
              <w:rPr>
                <w:rFonts w:hint="default" w:ascii="Times New Roman" w:hAnsi="Times New Roman" w:cs="Times New Roman"/>
                <w:sz w:val="26"/>
                <w:szCs w:val="26"/>
              </w:rPr>
              <w:t xml:space="preserve">hoản 2 </w:t>
            </w:r>
            <w:r>
              <w:rPr>
                <w:rFonts w:hint="default" w:ascii="Times New Roman" w:hAnsi="Times New Roman" w:cs="Times New Roman"/>
                <w:sz w:val="26"/>
                <w:szCs w:val="26"/>
                <w:lang w:val="en-US"/>
              </w:rPr>
              <w:t>Đ</w:t>
            </w:r>
            <w:r>
              <w:rPr>
                <w:rFonts w:hint="default" w:ascii="Times New Roman" w:hAnsi="Times New Roman" w:cs="Times New Roman"/>
                <w:sz w:val="26"/>
                <w:szCs w:val="26"/>
              </w:rPr>
              <w:t>iều 5</w:t>
            </w:r>
            <w:r>
              <w:rPr>
                <w:rFonts w:hint="default" w:ascii="Times New Roman" w:hAnsi="Times New Roman" w:cs="Times New Roman"/>
                <w:sz w:val="26"/>
                <w:szCs w:val="26"/>
                <w:lang w:val="en-US"/>
              </w:rPr>
              <w:t xml:space="preserve"> về vai trò của Hợp tác xã.</w:t>
            </w:r>
          </w:p>
        </w:tc>
      </w:tr>
      <w:tr w14:paraId="3B3B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1C56D2F1">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vMerge w:val="restart"/>
          </w:tcPr>
          <w:p w14:paraId="49E728B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eastAsia="Times New Roman" w:cs="Times New Roman"/>
                <w:sz w:val="26"/>
                <w:szCs w:val="26"/>
                <w:lang w:val="vi-VN"/>
              </w:rPr>
              <w:t xml:space="preserve">c) Mô hình chuỗi giá trị mở, không có chủ thể trung tâm cố định, vận hành linh hoạt theo thị trường, có sự tham gia của các tác nhân trung gian trong kết nối </w:t>
            </w:r>
            <w:r>
              <w:rPr>
                <w:rFonts w:hint="default" w:ascii="Times New Roman" w:hAnsi="Times New Roman" w:eastAsia="Times New Roman" w:cs="Times New Roman"/>
                <w:sz w:val="26"/>
                <w:szCs w:val="26"/>
              </w:rPr>
              <w:t xml:space="preserve">sản xuất </w:t>
            </w:r>
            <w:r>
              <w:rPr>
                <w:rFonts w:hint="default" w:ascii="Times New Roman" w:hAnsi="Times New Roman" w:eastAsia="Times New Roman" w:cs="Times New Roman"/>
                <w:sz w:val="26"/>
                <w:szCs w:val="26"/>
                <w:lang w:val="vi-VN"/>
              </w:rPr>
              <w:t xml:space="preserve">và </w:t>
            </w:r>
            <w:r>
              <w:rPr>
                <w:rFonts w:hint="default" w:ascii="Times New Roman" w:hAnsi="Times New Roman" w:eastAsia="Times New Roman" w:cs="Times New Roman"/>
                <w:sz w:val="26"/>
                <w:szCs w:val="26"/>
              </w:rPr>
              <w:t>tiêu thụ</w:t>
            </w:r>
            <w:r>
              <w:rPr>
                <w:rFonts w:hint="default" w:ascii="Times New Roman" w:hAnsi="Times New Roman" w:eastAsia="Times New Roman" w:cs="Times New Roman"/>
                <w:sz w:val="26"/>
                <w:szCs w:val="26"/>
                <w:lang w:val="vi-VN"/>
              </w:rPr>
              <w:t xml:space="preserve"> sản phẩm.</w:t>
            </w:r>
            <w:r>
              <w:rPr>
                <w:rFonts w:hint="default" w:ascii="Times New Roman" w:hAnsi="Times New Roman" w:eastAsia="Times New Roman" w:cs="Times New Roman"/>
                <w:sz w:val="26"/>
                <w:szCs w:val="26"/>
              </w:rPr>
              <w:t xml:space="preserve"> Trong hình thức này, các bên tham gia liên kết tự thỏa thuận lựa chọn một chủ thể làm chủ trì liên kết.</w:t>
            </w:r>
          </w:p>
        </w:tc>
        <w:tc>
          <w:tcPr>
            <w:tcW w:w="1898" w:type="dxa"/>
          </w:tcPr>
          <w:p w14:paraId="4412B5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UBND tỉnh Quảng Trị; Sở Nông nghiệp và Môi trường tỉnh</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Ninh Bình; Bắc Ninh</w:t>
            </w:r>
            <w:r>
              <w:rPr>
                <w:rFonts w:hint="default" w:ascii="Times New Roman" w:hAnsi="Times New Roman" w:cs="Times New Roman"/>
                <w:sz w:val="26"/>
                <w:szCs w:val="26"/>
                <w:lang w:val="en-US"/>
              </w:rPr>
              <w:t>.</w:t>
            </w:r>
          </w:p>
        </w:tc>
        <w:tc>
          <w:tcPr>
            <w:tcW w:w="5475" w:type="dxa"/>
          </w:tcPr>
          <w:p w14:paraId="1CCBA25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cơ quan soạn thảo rà soát, chỉnh sửa quy định tại điểm c khoản 3 Điều 5 để bảo đảm thống nhất với điểm b khoản 3 Điều 3 của dự thảo Nghị định về yêu cầu có ít nhất một chủ thể tổ chức sản xuất nông nghiệp tham gia điều phối chuỗi giá trị. Quy định hiện nay nêu “mô hình chuỗi giá trị mở, không có chủ thể trung tâm cố định” nhưng đồng thời lại quy định “các bên tham gia liên kết tự thỏa thuận lựa chọn một chủ thể làm chủ trì liên kết”, dẫn đến cách hiểu chưa thống nhất về vai trò chủ thể trung tâm trong chuỗi giá trị. Đề nghị sửa đổi theo hướng quy định rõ phải xác định tổ chức hoặc chủ thể đại diện chịu trách nhiệm điều phối, tổ chức thực hiện kế hoạch liên kết nhằm bảo đảm có đầu mối quản lý, nâng cao hiệu quả thực hiện liên kết và làm cơ sở xem xét hỗ trợ từ ngân sách nhà nước.</w:t>
            </w:r>
          </w:p>
        </w:tc>
        <w:tc>
          <w:tcPr>
            <w:tcW w:w="4567" w:type="dxa"/>
          </w:tcPr>
          <w:p w14:paraId="4B208FD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Ban soạn thảo thống nhất rằng chuỗi giá trị mở có thể không có chủ thể trung tâm cố định về mặt thương mại, nhưng khi triển khai liên kết có tổ chức, đặc biệt trường hợp đề xuất chính sách hỗ trợ từ ngân sách nhà nước, cần xác định một chủ trì liên kết hoặc chủ thể đại diện để điều phối thực hiện, ký kết hồ sơ, tổ chức kế hoạch liên kết và chịu trách nhiệm trước cơ quan nhà nước.</w:t>
            </w:r>
          </w:p>
        </w:tc>
      </w:tr>
      <w:tr w14:paraId="5F79B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7AACCE4F">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vMerge w:val="continue"/>
            <w:tcBorders/>
          </w:tcPr>
          <w:p w14:paraId="02590C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5EAEAD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Viện Chính sách</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C</w:t>
            </w:r>
            <w:r>
              <w:rPr>
                <w:rFonts w:hint="default" w:ascii="Times New Roman" w:hAnsi="Times New Roman" w:cs="Times New Roman"/>
                <w:sz w:val="26"/>
                <w:szCs w:val="26"/>
              </w:rPr>
              <w:t xml:space="preserve">hiến lược </w:t>
            </w:r>
            <w:r>
              <w:rPr>
                <w:rFonts w:hint="default" w:ascii="Times New Roman" w:hAnsi="Times New Roman" w:cs="Times New Roman"/>
                <w:sz w:val="26"/>
                <w:szCs w:val="26"/>
                <w:lang w:val="en-US"/>
              </w:rPr>
              <w:t xml:space="preserve">Nông nghiệp nghiệp </w:t>
            </w:r>
            <w:r>
              <w:rPr>
                <w:rFonts w:hint="default" w:ascii="Times New Roman" w:hAnsi="Times New Roman" w:cs="Times New Roman"/>
                <w:sz w:val="26"/>
                <w:szCs w:val="26"/>
              </w:rPr>
              <w:t>và Môi trường</w:t>
            </w:r>
          </w:p>
        </w:tc>
        <w:tc>
          <w:tcPr>
            <w:tcW w:w="5475" w:type="dxa"/>
            <w:shd w:val="clear" w:color="auto" w:fill="auto"/>
            <w:vAlign w:val="top"/>
          </w:tcPr>
          <w:p w14:paraId="2B75339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Đối với chuỗi giá trị mở, đề nghị bổ sung nguyên tắc các bên phải có thỏa thuận cử chủ trì liên kết; trong đó xác định rõ quyền, nghĩa vụ, phạm vi đại diện và cơ chế thay đổi chủ trì liên kết khi cần thiết.</w:t>
            </w:r>
          </w:p>
        </w:tc>
        <w:tc>
          <w:tcPr>
            <w:tcW w:w="4567" w:type="dxa"/>
            <w:shd w:val="clear" w:color="auto" w:fill="auto"/>
            <w:vAlign w:val="top"/>
          </w:tcPr>
          <w:p w14:paraId="02734C9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kern w:val="2"/>
                <w:sz w:val="26"/>
                <w:szCs w:val="26"/>
                <w:lang w:val="en-US" w:eastAsia="en-US" w:bidi="ar-SA"/>
                <w14:ligatures w14:val="standardContextual"/>
              </w:rPr>
              <w:t>Tiếp thu và bổ sung, chỉnh sửa</w:t>
            </w:r>
          </w:p>
        </w:tc>
      </w:tr>
      <w:tr w14:paraId="5DC0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336CDB09">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vMerge w:val="continue"/>
            <w:tcBorders/>
          </w:tcPr>
          <w:p w14:paraId="21FC372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2419904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Trung tâm Khuyến nông Quốc gia</w:t>
            </w:r>
          </w:p>
        </w:tc>
        <w:tc>
          <w:tcPr>
            <w:tcW w:w="5475" w:type="dxa"/>
            <w:shd w:val="clear" w:color="auto" w:fill="auto"/>
            <w:vAlign w:val="top"/>
          </w:tcPr>
          <w:p w14:paraId="3C76AF0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Đánh giá mô hình chuỗi giá trị mở phù hợp thực tiễn thị trường hiện nay.</w:t>
            </w:r>
          </w:p>
        </w:tc>
        <w:tc>
          <w:tcPr>
            <w:tcW w:w="4567" w:type="dxa"/>
            <w:shd w:val="clear" w:color="auto" w:fill="auto"/>
            <w:vAlign w:val="top"/>
          </w:tcPr>
          <w:p w14:paraId="0501CC0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kern w:val="2"/>
                <w:sz w:val="26"/>
                <w:szCs w:val="26"/>
                <w:lang w:val="en-US" w:eastAsia="en-US" w:bidi="ar-SA"/>
                <w14:ligatures w14:val="standardContextual"/>
              </w:rPr>
            </w:pPr>
            <w:r>
              <w:rPr>
                <w:rFonts w:hint="default" w:ascii="Times New Roman" w:hAnsi="Times New Roman" w:cs="Times New Roman"/>
                <w:kern w:val="2"/>
                <w:sz w:val="26"/>
                <w:szCs w:val="26"/>
                <w:lang w:val="en-US" w:eastAsia="en-US" w:bidi="ar-SA"/>
                <w14:ligatures w14:val="standardContextual"/>
              </w:rPr>
              <w:t>Tiếp thu. Giữ nguyên mô hình chuỗi giá trị mở, đồng thời làm rõ nguyên tắc vận hành và điều kiện áp dụng.</w:t>
            </w:r>
          </w:p>
        </w:tc>
      </w:tr>
      <w:tr w14:paraId="7997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D2B591B">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3958849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tcPr>
          <w:p w14:paraId="13E24BD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Sở Nông nghiệp và Môi trường </w:t>
            </w:r>
            <w:r>
              <w:rPr>
                <w:rFonts w:hint="default" w:ascii="Times New Roman" w:hAnsi="Times New Roman" w:cs="Times New Roman"/>
                <w:sz w:val="26"/>
                <w:szCs w:val="26"/>
                <w:lang w:val="vi-VN"/>
              </w:rPr>
              <w:t>tỉnh Lào Cai</w:t>
            </w:r>
          </w:p>
        </w:tc>
        <w:tc>
          <w:tcPr>
            <w:tcW w:w="5475" w:type="dxa"/>
          </w:tcPr>
          <w:p w14:paraId="6B83AA6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Về vai trò của Hợp tác xã và Liên minh HTX (Điều 5</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của dự thảo): Đề xuất bổ sung: Để phát huy vai trò Liên minh Hợp tác xã cấp tỉnh/thành phố, đề nghị quy định rõ hơn trách nhiệm của Liên minh HTX cấp tỉnh/phố trong việc thẩm định hoặc có ý kiến chuyên môn đối với các Kế hoạch liên kết do HTX làm chủ trì trước khi trình UBND cấp xã/tỉnh phê duyệt. Điều này giúp đảm bảo tính khả thi của kế hoạch và bảo vệ quyền lợi cho các HTX thành viên</w:t>
            </w:r>
          </w:p>
        </w:tc>
        <w:tc>
          <w:tcPr>
            <w:tcW w:w="4567" w:type="dxa"/>
          </w:tcPr>
          <w:p w14:paraId="352C25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Bổ sung tại Khoản 5, Điều 20</w:t>
            </w:r>
          </w:p>
        </w:tc>
      </w:tr>
      <w:tr w14:paraId="79C5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3198E064">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29D49A5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Điều 6. Hợp đồng liên kết</w:t>
            </w:r>
          </w:p>
        </w:tc>
        <w:tc>
          <w:tcPr>
            <w:tcW w:w="1898" w:type="dxa"/>
          </w:tcPr>
          <w:p w14:paraId="5C31A1E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5475" w:type="dxa"/>
          </w:tcPr>
          <w:p w14:paraId="771CA10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205BB89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00C5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2D6788A">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shd w:val="clear" w:color="auto" w:fill="auto"/>
            <w:vAlign w:val="top"/>
          </w:tcPr>
          <w:p w14:paraId="2563EEF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2"/>
                <w:sz w:val="26"/>
                <w:szCs w:val="26"/>
                <w:lang w:val="vi-VN" w:eastAsia="en-US" w:bidi="ar-SA"/>
                <w14:ligatures w14:val="standardContextual"/>
              </w:rPr>
            </w:pPr>
            <w:r>
              <w:rPr>
                <w:rFonts w:hint="default" w:ascii="Times New Roman" w:hAnsi="Times New Roman" w:eastAsia="Times New Roman" w:cs="Times New Roman"/>
                <w:sz w:val="26"/>
                <w:szCs w:val="26"/>
                <w:lang w:val="vi-VN"/>
              </w:rPr>
              <w:t>1. Hình thức hợp đồng</w:t>
            </w:r>
            <w:r>
              <w:rPr>
                <w:rFonts w:hint="default" w:ascii="Times New Roman" w:hAnsi="Times New Roman" w:eastAsia="Times New Roman" w:cs="Times New Roman"/>
                <w:sz w:val="26"/>
                <w:szCs w:val="26"/>
              </w:rPr>
              <w:t xml:space="preserve"> liên kết: </w:t>
            </w:r>
            <w:r>
              <w:rPr>
                <w:rFonts w:hint="default" w:ascii="Times New Roman" w:hAnsi="Times New Roman" w:eastAsia="Times New Roman" w:cs="Times New Roman"/>
                <w:sz w:val="26"/>
                <w:szCs w:val="26"/>
                <w:lang w:val="vi-VN"/>
              </w:rPr>
              <w:t xml:space="preserve">Liên kết chuỗi giá trị phải được xác lập bằng hợp đồng hoặc thỏa thuận bằng văn bản theo quy định của pháp luật về dân sự và thương mại. </w:t>
            </w:r>
          </w:p>
        </w:tc>
        <w:tc>
          <w:tcPr>
            <w:tcW w:w="1898" w:type="dxa"/>
            <w:shd w:val="clear" w:color="auto" w:fill="auto"/>
            <w:vAlign w:val="top"/>
          </w:tcPr>
          <w:p w14:paraId="78DB13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vi-VN"/>
              </w:rPr>
              <w:t>Bộ Dân tộc và Tôn giáo</w:t>
            </w:r>
          </w:p>
        </w:tc>
        <w:tc>
          <w:tcPr>
            <w:tcW w:w="5475" w:type="dxa"/>
            <w:shd w:val="clear" w:color="auto" w:fill="auto"/>
            <w:vAlign w:val="top"/>
          </w:tcPr>
          <w:p w14:paraId="3E77CD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Bổ sung thêm tiêu chí có tính định lượng trong hợp đồng liên kết như: Thời hạn hợp đồng tối thiểu, tỷ lệ bao tiêu sản phẩm cho người dân để tăng tính bảo vệ, tránh rủi ro, bảo đảm phát triển kinh tế bền vững cho người sản xuất, đặc biệt đối với đồng bào dân tộc thiểu số trong phát triển liên kết chuỗi giá trị nông nghiệp.</w:t>
            </w:r>
          </w:p>
        </w:tc>
        <w:tc>
          <w:tcPr>
            <w:tcW w:w="4567" w:type="dxa"/>
          </w:tcPr>
          <w:p w14:paraId="63D753E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D</w:t>
            </w:r>
            <w:r>
              <w:rPr>
                <w:rFonts w:hint="default" w:ascii="Times New Roman" w:hAnsi="Times New Roman" w:cs="Times New Roman"/>
                <w:sz w:val="26"/>
                <w:szCs w:val="26"/>
                <w:lang w:val="vi-VN"/>
              </w:rPr>
              <w:t>o đặc thù liên kết giữa các ngành hàng, mùa vụ, quy mô sản xuất và yêu cầu thị trường rất khác nhau</w:t>
            </w:r>
            <w:r>
              <w:rPr>
                <w:rFonts w:hint="default" w:ascii="Times New Roman" w:hAnsi="Times New Roman" w:cs="Times New Roman"/>
                <w:sz w:val="26"/>
                <w:szCs w:val="26"/>
                <w:lang w:val="en-US"/>
              </w:rPr>
              <w:t>. Vì vậy, không quy định cứng các tiêu chí định lượng như thời hạn hợp đồng tối thiểu hoặc tỷ lệ bao tiêu bắt buộc trong Nghị định.</w:t>
            </w:r>
          </w:p>
          <w:p w14:paraId="6452AE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Tuy nhiên, xin tiếp thu theo hướng khuyến khích các bên thỏa thuận rõ trong hợp đồng về thời hạn liên kết, sản lượng, tỷ lệ thu mua, cơ chế tiêu thụ, chia sẻ rủi ro và trách nhiệm thực hiện, đồng thời ưu tiên xem xét hỗ trợ đối với các chuỗi liên kết có tính ổn định, dài hạn và bảo đảm lợi ích của người sản xuất.</w:t>
            </w:r>
          </w:p>
        </w:tc>
      </w:tr>
      <w:tr w14:paraId="01F6F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1A3B81D">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27B9C3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78A60F4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Viện Chiến lược, Chính sách nông nghiệp và môi trường</w:t>
            </w:r>
          </w:p>
        </w:tc>
        <w:tc>
          <w:tcPr>
            <w:tcW w:w="5475" w:type="dxa"/>
            <w:shd w:val="clear" w:color="auto" w:fill="auto"/>
            <w:vAlign w:val="top"/>
          </w:tcPr>
          <w:p w14:paraId="213A3DD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Dự thảo bổ sung các nội dung chủ yếu của hợp đồng liên kết, cơ chế giá linh hoạt, giá sàn, giá tham chiếu, thưởng chất lượng, bảo hiểm rủi ro và các biện pháp bảo đảm thực hiện hợp đồng là cần thiết để giảm tình trạng phá vỡ hợp đồng khi thị trường biến động. Tuy nhiên, hợp đồng liên kết là quan hệ dân sự, thương mại, nên Nghị định chỉ nên quy định khung nội dung tối thiểu và nguyên tắc, tránh can thiệp quá chi tiết vào thỏa thuận của các bên. Đề nghị Bộ Nông nghiệp và Môi trường ban hành hoặc hướng dẫn bộ hợp đồng mẫu/hợp đồng khung theo từng nhóm ngành hàng để các bên tham khảo, trong đó có các điều khoản mẫu về công thức xác định giá, điều chỉnh giá khi biến động lớn, thưởng - phạt chất lượng, chia sẻ rủi ro, bất khả kháng, phương thức giải quyết tranh chấp.</w:t>
            </w:r>
          </w:p>
        </w:tc>
        <w:tc>
          <w:tcPr>
            <w:tcW w:w="4567" w:type="dxa"/>
          </w:tcPr>
          <w:p w14:paraId="3236995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T</w:t>
            </w:r>
            <w:r>
              <w:rPr>
                <w:rFonts w:hint="default" w:ascii="Times New Roman" w:hAnsi="Times New Roman" w:cs="Times New Roman"/>
                <w:sz w:val="26"/>
                <w:szCs w:val="26"/>
                <w:lang w:val="vi-VN"/>
              </w:rPr>
              <w:t xml:space="preserve">hống nhất </w:t>
            </w:r>
            <w:r>
              <w:rPr>
                <w:rFonts w:hint="default" w:ascii="Times New Roman" w:hAnsi="Times New Roman" w:cs="Times New Roman"/>
                <w:sz w:val="26"/>
                <w:szCs w:val="26"/>
                <w:lang w:val="en-US"/>
              </w:rPr>
              <w:t xml:space="preserve">ý kiến cho </w:t>
            </w:r>
            <w:r>
              <w:rPr>
                <w:rFonts w:hint="default" w:ascii="Times New Roman" w:hAnsi="Times New Roman" w:cs="Times New Roman"/>
                <w:sz w:val="26"/>
                <w:szCs w:val="26"/>
                <w:lang w:val="vi-VN"/>
              </w:rPr>
              <w:t>rằng hợp đồng liên kết là quan hệ dân sự, thương mại, do đó Nghị định chỉ quy định khung nội dung chủ yếu và nguyên tắc chung, tránh can thiệp quá sâu vào quyền tự thỏa thuận của các bên. Các nội dung như giá linh hoạt, giá tham chiếu, thưởng chất lượng, chia sẻ rủi ro, bảo đảm thực hiện hợp đồng được thiết kế theo hướng khuyến khích áp dụng, không bắt buộc, phù hợp với đặc thù từng ngành hàng và mô hình liên kết.</w:t>
            </w:r>
          </w:p>
          <w:p w14:paraId="4620C74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Việc ban hành hoặc hướng dẫn bộ hợp đồng mẫu/hợp đồng khung theo từng nhóm ngành hàng trong Nghị định là rất khó khả thi và không phù hợp với tính đa dạng của chuỗi giá trị. Vì vậy xin tiếp thu theo hướng nghiên cứu hướng dẫn, giới thiệu các nội dung tham khảo về hợp đồng liên kết dưới hình thức Sổ tay, tài liệu hướng dẫn nhằm hỗ trợ các địa phương, HTX, doanh nghiệp. </w:t>
            </w:r>
          </w:p>
        </w:tc>
      </w:tr>
      <w:tr w14:paraId="56CD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95320AD">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63C5200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79CBBD7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Sở Nông nghiệp và Môi trường tỉnh Hưng Yên; Vĩnh Long; TP</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Cần Thơ</w:t>
            </w:r>
          </w:p>
        </w:tc>
        <w:tc>
          <w:tcPr>
            <w:tcW w:w="5475" w:type="dxa"/>
            <w:shd w:val="clear" w:color="auto" w:fill="auto"/>
            <w:vAlign w:val="top"/>
          </w:tcPr>
          <w:p w14:paraId="676176E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Tại Điều 6 về Hợp động liên kết: Có quy định về hình thức hợp đồng, nội dung chủ yếu của hợp đồng và phân biệt hợp đồng liên kết với hợp đồng mua bán thông thường, đề nghị bổ sung thêm mẫu hợp đồng nội dung ngắn gọn, dễ áp dụng, có sẵn các điều khoản cơ bản về giá, sản lượng, chất lượng, thanh toán và cơ chế chia sẻ rủi ro.</w:t>
            </w:r>
          </w:p>
        </w:tc>
        <w:tc>
          <w:tcPr>
            <w:tcW w:w="4567" w:type="dxa"/>
          </w:tcPr>
          <w:p w14:paraId="197A6AD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và bổ sung tại Phụ lục của dự thảo Nghị định</w:t>
            </w:r>
          </w:p>
        </w:tc>
      </w:tr>
      <w:tr w14:paraId="0FAB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48C5B835">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vMerge w:val="restart"/>
          </w:tcPr>
          <w:p w14:paraId="41A394A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2220C15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Sở NN và Môi trường tỉnh Lai Châu</w:t>
            </w:r>
          </w:p>
        </w:tc>
        <w:tc>
          <w:tcPr>
            <w:tcW w:w="5475" w:type="dxa"/>
            <w:shd w:val="clear" w:color="auto" w:fill="auto"/>
            <w:vAlign w:val="top"/>
          </w:tcPr>
          <w:p w14:paraId="42A39B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Đ</w:t>
            </w:r>
            <w:r>
              <w:rPr>
                <w:rFonts w:hint="default" w:ascii="Times New Roman" w:hAnsi="Times New Roman" w:cs="Times New Roman"/>
                <w:sz w:val="26"/>
                <w:szCs w:val="26"/>
                <w:lang w:val="vi-VN"/>
              </w:rPr>
              <w:t xml:space="preserve">ề nghị xem xét chỉ để một hình thức là </w:t>
            </w:r>
            <w:r>
              <w:rPr>
                <w:rFonts w:hint="default" w:ascii="Times New Roman" w:hAnsi="Times New Roman" w:cs="Times New Roman"/>
                <w:i/>
                <w:iCs/>
                <w:sz w:val="26"/>
                <w:szCs w:val="26"/>
                <w:lang w:val="vi-VN"/>
              </w:rPr>
              <w:t xml:space="preserve">“Hợp đồng liên kết” </w:t>
            </w:r>
            <w:r>
              <w:rPr>
                <w:rFonts w:hint="default" w:ascii="Times New Roman" w:hAnsi="Times New Roman" w:cs="Times New Roman"/>
                <w:sz w:val="26"/>
                <w:szCs w:val="26"/>
                <w:lang w:val="vi-VN"/>
              </w:rPr>
              <w:t>nhằm bảo đảm tính thống nhất trong quá trình triển khai thực hiện.</w:t>
            </w:r>
          </w:p>
        </w:tc>
        <w:tc>
          <w:tcPr>
            <w:tcW w:w="4567" w:type="dxa"/>
          </w:tcPr>
          <w:p w14:paraId="0A14850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Hiện dự thảo Nghị định chỉ quy định 01 hình thức “Hợp đồng liên kết”. Dự thảo Nghị định đưa ra quy định phân biệt hợp đồng liên kết chuỗi giá trị nông nghiệp bền vững với hợp đồng mua bán sản phẩm nông nghiệp thông thường</w:t>
            </w:r>
          </w:p>
        </w:tc>
      </w:tr>
      <w:tr w14:paraId="0791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51006929">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vMerge w:val="continue"/>
            <w:tcBorders/>
          </w:tcPr>
          <w:p w14:paraId="6F04A00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7972BE1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Tập đoàn Nông nghiệp sạch hữu cơ Toàn Cầu</w:t>
            </w:r>
          </w:p>
        </w:tc>
        <w:tc>
          <w:tcPr>
            <w:tcW w:w="5475" w:type="dxa"/>
            <w:shd w:val="clear" w:color="auto" w:fill="auto"/>
            <w:vAlign w:val="top"/>
          </w:tcPr>
          <w:p w14:paraId="6EFE4AF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Khuyến khích áp dụng hợp đồng thông minh (Smart Contract) trong quản lý liên kết.</w:t>
            </w:r>
          </w:p>
        </w:tc>
        <w:tc>
          <w:tcPr>
            <w:tcW w:w="4567" w:type="dxa"/>
          </w:tcPr>
          <w:p w14:paraId="5C2162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Bổ sung quy định khuyến khích ứng dụng công nghệ số, hợp đồng điện tử trong quản trị chuỗi.</w:t>
            </w:r>
          </w:p>
        </w:tc>
      </w:tr>
      <w:tr w14:paraId="6420F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79179C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616917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2. Nội dung chủ yếu của hợp đồng liên kết</w:t>
            </w:r>
          </w:p>
          <w:p w14:paraId="3BE1D27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Hợp đồng liên kết phải có các nội dung chủ yếu sau đây:</w:t>
            </w:r>
          </w:p>
        </w:tc>
        <w:tc>
          <w:tcPr>
            <w:tcW w:w="1898" w:type="dxa"/>
          </w:tcPr>
          <w:p w14:paraId="6153872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Lâm nghiệp và Kiểm Lâm</w:t>
            </w:r>
          </w:p>
        </w:tc>
        <w:tc>
          <w:tcPr>
            <w:tcW w:w="5475" w:type="dxa"/>
          </w:tcPr>
          <w:p w14:paraId="5C75BDC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Xem xét, bỏ cụm từ “Hợp đồng liên kết phải có các nội dung chủ yếu sau đây:” dưới khoản 2 Điều 6 về “Nội dung chủ yếu của hợp đồng liên kết” do trùng lặp nội dung với khoản 2.</w:t>
            </w:r>
          </w:p>
        </w:tc>
        <w:tc>
          <w:tcPr>
            <w:tcW w:w="4567" w:type="dxa"/>
          </w:tcPr>
          <w:p w14:paraId="2BFEAC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0A9E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C46570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184D0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lang w:val="vi-VN"/>
              </w:rPr>
              <w:t>b) Sản lượng, chất lượng, tiêu chuẩn sản phẩm và yêu cầu về truy xuất nguồn gốc (nếu có);</w:t>
            </w:r>
          </w:p>
        </w:tc>
        <w:tc>
          <w:tcPr>
            <w:tcW w:w="1898" w:type="dxa"/>
          </w:tcPr>
          <w:p w14:paraId="2F3BCFB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kern w:val="0"/>
                <w:sz w:val="26"/>
                <w:szCs w:val="26"/>
                <w14:ligatures w14:val="none"/>
              </w:rPr>
              <w:t>Công ty Cổ phần Phát triển Tài sản Số OriginX</w:t>
            </w:r>
          </w:p>
        </w:tc>
        <w:tc>
          <w:tcPr>
            <w:tcW w:w="5475" w:type="dxa"/>
          </w:tcPr>
          <w:p w14:paraId="1CC09D6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iCs/>
                <w:kern w:val="0"/>
                <w:sz w:val="26"/>
                <w:szCs w:val="26"/>
                <w:lang w:val="vi-VN"/>
                <w14:ligatures w14:val="none"/>
              </w:rPr>
              <w:t>Đề nghị q</w:t>
            </w:r>
            <w:r>
              <w:rPr>
                <w:rFonts w:hint="default" w:ascii="Times New Roman" w:hAnsi="Times New Roman" w:eastAsia="Times New Roman" w:cs="Times New Roman"/>
                <w:iCs/>
                <w:kern w:val="0"/>
                <w:sz w:val="26"/>
                <w:szCs w:val="26"/>
                <w14:ligatures w14:val="none"/>
              </w:rPr>
              <w:t>uy định về ghi nhận, cập nhật và chia sẻ dữ liệu trong chuỗi giá trị, tối thiểu bao gồm: dữ liệu sản xuất, sản lượng, giao nhận, truy xuất nguồn gốc; phương thức kiểm chứng và trách nhiệm của các bên."</w:t>
            </w:r>
          </w:p>
          <w:p w14:paraId="0A9C9AB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4887539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theo hướng khuyến khích các bên thỏa thuận nội dung dữ liệu, truy xuất nguồn gốc và cơ chế chia sẻ thông tin, không quy định cứng do đặc thù ngành hàng, quy mô và mức độ ứng dụng công nghệ khác nhau.</w:t>
            </w:r>
          </w:p>
        </w:tc>
      </w:tr>
      <w:tr w14:paraId="3331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64C459B">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717375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lang w:val="vi-VN"/>
              </w:rPr>
              <w:t>c) Giá sản phẩm hoặc phương thức, thời điểm xác định giá;</w:t>
            </w:r>
          </w:p>
        </w:tc>
        <w:tc>
          <w:tcPr>
            <w:tcW w:w="1898" w:type="dxa"/>
          </w:tcPr>
          <w:p w14:paraId="41354F1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lang w:val="en-US"/>
                <w14:ligatures w14:val="none"/>
              </w:rPr>
            </w:pPr>
            <w:r>
              <w:rPr>
                <w:rFonts w:hint="default" w:ascii="Times New Roman" w:hAnsi="Times New Roman" w:eastAsia="Times New Roman" w:cs="Times New Roman"/>
                <w:kern w:val="0"/>
                <w:sz w:val="26"/>
                <w:szCs w:val="26"/>
                <w14:ligatures w14:val="none"/>
              </w:rPr>
              <w:t>Liên minh HTX Việt Nam; Trung tâm Khuyến nông quốc gia</w:t>
            </w:r>
            <w:r>
              <w:rPr>
                <w:rFonts w:hint="default" w:ascii="Times New Roman" w:hAnsi="Times New Roman" w:eastAsia="Times New Roman" w:cs="Times New Roman"/>
                <w:kern w:val="0"/>
                <w:sz w:val="26"/>
                <w:szCs w:val="26"/>
                <w:lang w:val="en-US"/>
                <w14:ligatures w14:val="none"/>
              </w:rPr>
              <w:t>;</w:t>
            </w:r>
          </w:p>
          <w:p w14:paraId="00B3753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kern w:val="0"/>
                <w:sz w:val="26"/>
                <w:szCs w:val="26"/>
                <w14:ligatures w14:val="none"/>
              </w:rPr>
              <w:t>Công ty Cổ phần Phát triển Tài sản Số OriginX</w:t>
            </w:r>
          </w:p>
        </w:tc>
        <w:tc>
          <w:tcPr>
            <w:tcW w:w="5475" w:type="dxa"/>
          </w:tcPr>
          <w:p w14:paraId="4D3F54A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iCs/>
                <w:kern w:val="0"/>
                <w:sz w:val="26"/>
                <w:szCs w:val="26"/>
                <w14:ligatures w14:val="none"/>
              </w:rPr>
              <w:t>Bổ sung: "cơ chế điều chỉnh giá theo chất lượng, tiêu chuẩn sản phẩm hoặc mức độ đáp ứng yêu cầu của chuỗi giá trị."</w:t>
            </w:r>
          </w:p>
          <w:p w14:paraId="7FA408E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52F59A6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theo hướng khuyến khích các bên thỏa thuận cơ chế xác định, điều chỉnh giá theo chất lượng sản phẩm, tiêu chuẩn kỹ thuật và biến động thị trường để tăng tính ổn định liên kết.</w:t>
            </w:r>
          </w:p>
        </w:tc>
      </w:tr>
      <w:tr w14:paraId="27E7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29A1E4E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42D6C78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lang w:val="vi-VN"/>
              </w:rPr>
              <w:t>d) Thời gian, địa điểm, phương thức giao nhận và thanh toán;</w:t>
            </w:r>
          </w:p>
        </w:tc>
        <w:tc>
          <w:tcPr>
            <w:tcW w:w="1898" w:type="dxa"/>
          </w:tcPr>
          <w:p w14:paraId="56A85218">
            <w:pPr>
              <w:keepNext w:val="0"/>
              <w:keepLines w:val="0"/>
              <w:pageBreakBefore w:val="0"/>
              <w:tabs>
                <w:tab w:val="left" w:pos="360"/>
              </w:tabs>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kern w:val="0"/>
                <w:sz w:val="26"/>
                <w:szCs w:val="26"/>
                <w14:ligatures w14:val="none"/>
              </w:rPr>
              <w:t>Công ty Cổ phần Phát triển Tài sản Số OriginX</w:t>
            </w:r>
          </w:p>
        </w:tc>
        <w:tc>
          <w:tcPr>
            <w:tcW w:w="5475" w:type="dxa"/>
          </w:tcPr>
          <w:p w14:paraId="324C00A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iCs/>
                <w:kern w:val="0"/>
                <w:sz w:val="26"/>
                <w:szCs w:val="26"/>
                <w14:ligatures w14:val="none"/>
              </w:rPr>
              <w:t>Bổ sung: "điều kiện thanh toán gắn với việc thực hiện đầy đủ nghĩa vụ về sản lượng, chất lượng và dữ liệu theo hợp đồng."</w:t>
            </w:r>
          </w:p>
          <w:p w14:paraId="4813312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2352508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Không quy định cứng trong Nghị định do thuộc quyền tự thỏa thuận dân sự, thương mại; khuyến khích các bên thỏa thuận cơ chế thanh toán gắn với mức độ thực hiện nghĩa vụ.</w:t>
            </w:r>
          </w:p>
        </w:tc>
      </w:tr>
      <w:tr w14:paraId="188F4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21556B9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650D6AA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4EC076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kern w:val="0"/>
                <w:sz w:val="26"/>
                <w:szCs w:val="26"/>
                <w14:ligatures w14:val="none"/>
              </w:rPr>
              <w:t>Công ty Cổ phần Phát triển Tài sản Số OriginX</w:t>
            </w:r>
          </w:p>
        </w:tc>
        <w:tc>
          <w:tcPr>
            <w:tcW w:w="5475" w:type="dxa"/>
          </w:tcPr>
          <w:p w14:paraId="1D4B8B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i/>
                <w:iCs/>
                <w:kern w:val="0"/>
                <w:sz w:val="26"/>
                <w:szCs w:val="26"/>
                <w14:ligatures w14:val="none"/>
              </w:rPr>
              <w:t>Cơ chế bảo đảm thực hiện hợp đồng, bao gồm đặt cọc, ký quỹ hoặc các biện pháp bảo đảm khác theo quy định của pháp luật."</w:t>
            </w:r>
          </w:p>
          <w:p w14:paraId="487FDEE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4567" w:type="dxa"/>
          </w:tcPr>
          <w:p w14:paraId="6C97D9E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Nội dung này đã được quy định tại Khoản 4 Điều 6 và Điều 7 dự thảo theo hướng cho phép áp dụng các biện pháp bảo đảm thực hiện nghĩa vụ theo pháp luật.</w:t>
            </w:r>
          </w:p>
        </w:tc>
      </w:tr>
      <w:tr w14:paraId="3949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D82004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F5150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g) Cơ chế phân chia lợi ích và chia sẻ rủi ro;</w:t>
            </w:r>
          </w:p>
        </w:tc>
        <w:tc>
          <w:tcPr>
            <w:tcW w:w="1898" w:type="dxa"/>
          </w:tcPr>
          <w:p w14:paraId="4D7CB00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Học viện Nông nghiệp Việt Nam</w:t>
            </w:r>
          </w:p>
        </w:tc>
        <w:tc>
          <w:tcPr>
            <w:tcW w:w="5475" w:type="dxa"/>
          </w:tcPr>
          <w:p w14:paraId="43E333E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Bổ sung nội dung “quyền quyết định” vào |điểm này.</w:t>
            </w:r>
          </w:p>
          <w:p w14:paraId="4379B77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Lý do: </w:t>
            </w:r>
            <w:r>
              <w:rPr>
                <w:rFonts w:hint="default" w:ascii="Times New Roman" w:hAnsi="Times New Roman" w:cs="Times New Roman"/>
                <w:sz w:val="26"/>
                <w:szCs w:val="26"/>
              </w:rPr>
              <w:t>Bên cạnh chia sẻ lợi ích, rủi ro thì phân chia “quyền quyết định” của các bên tham gia liên kết cũng là nội dung quan trọng ảnh hưởng đến kết quả và hiệu quả liên kết.</w:t>
            </w:r>
          </w:p>
        </w:tc>
        <w:tc>
          <w:tcPr>
            <w:tcW w:w="4567" w:type="dxa"/>
          </w:tcPr>
          <w:p w14:paraId="2F7F14B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theo hướng lồng ghép trong quyền, nghĩa vụ và cơ chế phối hợp của các bên, không tách thành nội dung bắt buộc riêng do mô hình liên kết đa dạng.</w:t>
            </w:r>
          </w:p>
        </w:tc>
      </w:tr>
      <w:tr w14:paraId="5AA1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CD3E3D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7D789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h) Trách nhiệm do vi phạm hợp đồng và phương thức giải quyết tranh chấp.</w:t>
            </w:r>
          </w:p>
        </w:tc>
        <w:tc>
          <w:tcPr>
            <w:tcW w:w="1898" w:type="dxa"/>
          </w:tcPr>
          <w:p w14:paraId="62C3567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kern w:val="0"/>
                <w:sz w:val="26"/>
                <w:szCs w:val="26"/>
                <w14:ligatures w14:val="none"/>
              </w:rPr>
              <w:t>Công ty Cổ phần Phát triển Tài sản Số OriginX</w:t>
            </w:r>
          </w:p>
        </w:tc>
        <w:tc>
          <w:tcPr>
            <w:tcW w:w="5475" w:type="dxa"/>
          </w:tcPr>
          <w:p w14:paraId="7AD8A79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i/>
                <w:iCs/>
                <w:kern w:val="0"/>
                <w:sz w:val="26"/>
                <w:szCs w:val="26"/>
                <w14:ligatures w14:val="none"/>
              </w:rPr>
              <w:t>Bổ sung: "bao gồm trách nhiệm tài chính tương ứng với mức độ vi phạm nghĩa vụ về sản lượng, chất lượng và cam kết tiêu thụ."</w:t>
            </w:r>
          </w:p>
        </w:tc>
        <w:tc>
          <w:tcPr>
            <w:tcW w:w="4567" w:type="dxa"/>
          </w:tcPr>
          <w:p w14:paraId="64A2F51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Không quy định cứng trong Nghị định do thuộc quan hệ dân sự, thương mại; khuyến khích các bên thỏa thuận trách nhiệm bồi thường, chế tài phù hợp trong hợp đồng.</w:t>
            </w:r>
          </w:p>
        </w:tc>
      </w:tr>
      <w:tr w14:paraId="36D1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4AA8EDF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46DE400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3. Phân biệt hợp đồng liên kết với hợp đồng mua bán thông thường</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vi-VN"/>
              </w:rPr>
              <w:t>Hợp đồng chỉ có nội dung mua bán sản phẩm, không gắn với tổ chức sản xuất, tiêu chuẩn chất lượng, kế hoạch sản lượng hoặc cơ chế phối hợp trong chuỗi giá trị theo quy định tại Nghị định này, không được xác định là hợp đồng liên kết để áp dụng chính sách hỗ trợ</w:t>
            </w:r>
            <w:r>
              <w:rPr>
                <w:rFonts w:hint="default" w:ascii="Times New Roman" w:hAnsi="Times New Roman" w:eastAsia="Times New Roman" w:cs="Times New Roman"/>
                <w:sz w:val="26"/>
                <w:szCs w:val="26"/>
              </w:rPr>
              <w:t xml:space="preserve"> của nhà nước theo </w:t>
            </w:r>
            <w:r>
              <w:rPr>
                <w:rFonts w:hint="default" w:ascii="Times New Roman" w:hAnsi="Times New Roman" w:eastAsia="Times New Roman" w:cs="Times New Roman"/>
                <w:sz w:val="26"/>
                <w:szCs w:val="26"/>
                <w:lang w:val="vi-VN"/>
              </w:rPr>
              <w:t>theo quy định tại Nghị định này.</w:t>
            </w:r>
          </w:p>
          <w:p w14:paraId="4DBD58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73FAC17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tỉnh</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Hà Tĩnh; Cà Mau</w:t>
            </w:r>
          </w:p>
        </w:tc>
        <w:tc>
          <w:tcPr>
            <w:tcW w:w="5475" w:type="dxa"/>
          </w:tcPr>
          <w:p w14:paraId="56C165E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Khoản 3 quy định “Phân biệt hợp đồng liên kết với hợp đồng mua bán thông thường: Hợp đồng chỉ có nội dung mua bán sản phẩm, không gắn với tổ chức sản xuất, tiêu chuẩn chất lượng, kế hoạch sản lượng hoặc cơ chế phối hợp trong chuỗi giá trị theo quy định tại Nghị định này, không được xác định là hợp đồng liên kết để áp dụng chính sách hỗ trợ của nhà nước theo quy định tại Nghị định này”. Trong khi đó, tại khoản 3 Điều 10 quy định “Không áp dụng chính sách hỗ trợ đối với các hoạt động mua bán sản phẩm nông nghiệp không gắn với tổ chức sản xuất và liên kết chuỗi giá trị theo quy định của Nghị định này.” mà liên kết chuỗi giá trị được quy định tại khoản 3 Điều 3 phải đáp ứng đồng thời các yếu tố “a) Có hợp đồng hoặc thỏa thuận ràng buộc trách nhiệm giữa các bên…; b) Có sự tham gia của ít nhất một chủ thể tổ chức sản xuất nông </w:t>
            </w:r>
            <w:r>
              <w:rPr>
                <w:rFonts w:hint="default" w:ascii="Times New Roman" w:hAnsi="Times New Roman" w:cs="Times New Roman"/>
                <w:i/>
                <w:iCs/>
                <w:sz w:val="26"/>
                <w:szCs w:val="26"/>
                <w:lang w:val="vi-VN"/>
              </w:rPr>
              <w:t xml:space="preserve">nghiệp (hợp tác xã, liên hiệp hợp tác xã, doanh nghiệp) trong điều phối chuỗi </w:t>
            </w:r>
            <w:r>
              <w:rPr>
                <w:rFonts w:hint="default" w:ascii="Times New Roman" w:hAnsi="Times New Roman" w:cs="Times New Roman"/>
                <w:sz w:val="26"/>
                <w:szCs w:val="26"/>
                <w:lang w:val="vi-VN"/>
              </w:rPr>
              <w:t>giá trị..</w:t>
            </w:r>
            <w:r>
              <w:rPr>
                <w:rFonts w:hint="default" w:ascii="Times New Roman" w:hAnsi="Times New Roman" w:cs="Times New Roman"/>
                <w:i/>
                <w:iCs/>
                <w:sz w:val="26"/>
                <w:szCs w:val="26"/>
                <w:lang w:val="vi-VN"/>
              </w:rPr>
              <w:t xml:space="preserve">.”. </w:t>
            </w:r>
            <w:r>
              <w:rPr>
                <w:rFonts w:hint="default" w:ascii="Times New Roman" w:hAnsi="Times New Roman" w:cs="Times New Roman"/>
                <w:sz w:val="26"/>
                <w:szCs w:val="26"/>
                <w:lang w:val="vi-VN"/>
              </w:rPr>
              <w:t xml:space="preserve">Đề nghị nghiên cứu viết gọn lại để đảm bảo tính thống nhất, tránh chồng chéo, lặp nội dung. </w:t>
            </w:r>
          </w:p>
          <w:p w14:paraId="75DC941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Đề nghị bổ sung nội dung quy định Thời hạn hợp đồng (Thời gian Hợp đồng có hiệu lực và hết hiệu lực);</w:t>
            </w:r>
          </w:p>
        </w:tc>
        <w:tc>
          <w:tcPr>
            <w:tcW w:w="4567" w:type="dxa"/>
          </w:tcPr>
          <w:p w14:paraId="2A2A60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R</w:t>
            </w:r>
            <w:r>
              <w:rPr>
                <w:rFonts w:hint="default" w:ascii="Times New Roman" w:hAnsi="Times New Roman" w:cs="Times New Roman"/>
                <w:sz w:val="26"/>
                <w:szCs w:val="26"/>
              </w:rPr>
              <w:t>à soát, chỉnh lý Khoản 3 Điều 6 theo hướng ngắn gọn, dẫn chiếu thống nhất, tránh lặp lại nội hàm đã quy định tại các điều khác</w:t>
            </w:r>
            <w:r>
              <w:rPr>
                <w:rFonts w:hint="default" w:ascii="Times New Roman" w:hAnsi="Times New Roman" w:cs="Times New Roman"/>
                <w:sz w:val="26"/>
                <w:szCs w:val="26"/>
                <w:lang w:val="en-US"/>
              </w:rPr>
              <w:t>.</w:t>
            </w:r>
          </w:p>
          <w:p w14:paraId="64E15C4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Nghị định không quy định cứng thời hạn tối thiểu nhằm bảo đảm phù hợp với tính đa dạng của ngành hàng, mùa vụ và thỏa thuận của các bên. Tuy nhiên, đã bổ sung ại điểm a Khoản 2 Điều 6 nội dung: </w:t>
            </w:r>
            <w:r>
              <w:rPr>
                <w:rFonts w:hint="default" w:ascii="Times New Roman" w:hAnsi="Times New Roman" w:cs="Times New Roman"/>
                <w:i/>
                <w:iCs/>
                <w:sz w:val="26"/>
                <w:szCs w:val="26"/>
                <w:lang w:val="en-US"/>
              </w:rPr>
              <w:t>“thời hạn liên kết”</w:t>
            </w:r>
            <w:r>
              <w:rPr>
                <w:rFonts w:hint="default" w:ascii="Times New Roman" w:hAnsi="Times New Roman" w:cs="Times New Roman"/>
                <w:sz w:val="26"/>
                <w:szCs w:val="26"/>
                <w:lang w:val="en-US"/>
              </w:rPr>
              <w:t xml:space="preserve"> trong các nội dung chủ yếu của hợp đồng.</w:t>
            </w:r>
          </w:p>
        </w:tc>
      </w:tr>
      <w:tr w14:paraId="66C2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331DBB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5AC7B31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3A2EFDB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Viện Chiến lược, Chính sách nông nghiệp và môi trường</w:t>
            </w:r>
          </w:p>
        </w:tc>
        <w:tc>
          <w:tcPr>
            <w:tcW w:w="5475" w:type="dxa"/>
          </w:tcPr>
          <w:p w14:paraId="37C8D07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Khoản 3 điều 6 nên chuyển thành một điều riêng quy định các trường hợp không được hỗ trợ liên kết gồm hợp đồng mua bán thông thường và hợp đồng gia công sản xuất và các trường hợp khác. Như vậy sẽ thuận tiện cho việc áp dụng quy định trong thực tế.</w:t>
            </w:r>
          </w:p>
        </w:tc>
        <w:tc>
          <w:tcPr>
            <w:tcW w:w="4567" w:type="dxa"/>
          </w:tcPr>
          <w:p w14:paraId="2DF3384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w:t>
            </w:r>
            <w:r>
              <w:rPr>
                <w:rFonts w:hint="default" w:ascii="Times New Roman" w:hAnsi="Times New Roman" w:cs="Times New Roman"/>
                <w:sz w:val="26"/>
                <w:szCs w:val="26"/>
              </w:rPr>
              <w:t>hông tiếp thu do nội dung Khoản 3 Điều 6 nhằm làm rõ bản chất của hợp đồng liên kết chuỗi giá trị để phân biệt với quan hệ mua bán thông thường, qua đó làm căn cứ xác định đối tượng áp dụng và điều kiện hỗ trợ theo Nghị định. Việc tách thành điều riêng về “các trường hợp không được hỗ trợ” dẫn đến trùng lặp với Điều 10 về nguyên tắc hỗ trợ</w:t>
            </w:r>
            <w:r>
              <w:rPr>
                <w:rFonts w:hint="default" w:ascii="Times New Roman" w:hAnsi="Times New Roman" w:cs="Times New Roman"/>
                <w:sz w:val="26"/>
                <w:szCs w:val="26"/>
                <w:lang w:val="en-US"/>
              </w:rPr>
              <w:t>.</w:t>
            </w:r>
          </w:p>
        </w:tc>
      </w:tr>
      <w:tr w14:paraId="5AD7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15DFEA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5DFEE14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1615126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Vụ Pháp chế</w:t>
            </w:r>
          </w:p>
        </w:tc>
        <w:tc>
          <w:tcPr>
            <w:tcW w:w="5475" w:type="dxa"/>
          </w:tcPr>
          <w:p w14:paraId="416F8FF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bỏ khoản 3 Điều 6 vì quy định này không thuộc phạm vi điều chỉnh của Nghị định.</w:t>
            </w:r>
          </w:p>
        </w:tc>
        <w:tc>
          <w:tcPr>
            <w:tcW w:w="4567" w:type="dxa"/>
          </w:tcPr>
          <w:p w14:paraId="6FF310C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K</w:t>
            </w:r>
            <w:r>
              <w:rPr>
                <w:rFonts w:hint="default" w:ascii="Times New Roman" w:hAnsi="Times New Roman" w:cs="Times New Roman"/>
                <w:sz w:val="26"/>
                <w:szCs w:val="26"/>
              </w:rPr>
              <w:t>hông tiếp thu do Khoản 3 Điều 6 có vai trò xác định ranh giới giữa hợp đồng liên kết chuỗi giá trị được hỗ trợ với hợp đồng mua bán sản phẩm nông nghiệp thông thường, bảo đảm thống nhất trong áp dụng chính sách và hạn chế tình trạng lợi dụng chính sách hỗ trợ đối với các giao dịch thương mại đơn thuần không gắn với tổ chức sản xuất và liên kết chuỗi giá trị. Nội dung này gắn trực tiếp với phạm vi điều chỉnh và nguyên tắc hỗ trợ của Nghị định nên cần thiết giữ lại.</w:t>
            </w:r>
          </w:p>
        </w:tc>
      </w:tr>
      <w:tr w14:paraId="1EC7E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11B43E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1E09980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7119AD2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Tư pháp</w:t>
            </w:r>
          </w:p>
        </w:tc>
        <w:tc>
          <w:tcPr>
            <w:tcW w:w="5475" w:type="dxa"/>
          </w:tcPr>
          <w:p w14:paraId="01150AB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Đề nghị rà soát m</w:t>
            </w:r>
            <w:r>
              <w:rPr>
                <w:rFonts w:hint="default" w:ascii="Times New Roman" w:hAnsi="Times New Roman" w:cs="Times New Roman"/>
                <w:sz w:val="26"/>
                <w:szCs w:val="26"/>
              </w:rPr>
              <w:t>ột số nội dung tại dự thảo Nghị định chưa mang tính quy phạm (ví dụ: khoản 3 Điều 6, khoản 1 Điều 7...), chỉnh lý cho phù hợp với quy định của Luật Ban hành văn bản quy phạm pháp luật...</w:t>
            </w:r>
          </w:p>
        </w:tc>
        <w:tc>
          <w:tcPr>
            <w:tcW w:w="4567" w:type="dxa"/>
          </w:tcPr>
          <w:p w14:paraId="1F47C11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chỉnh sửa</w:t>
            </w:r>
          </w:p>
        </w:tc>
      </w:tr>
      <w:tr w14:paraId="704D3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456654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177A2E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55B0DFD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Vụ Pháp chế</w:t>
            </w:r>
          </w:p>
        </w:tc>
        <w:tc>
          <w:tcPr>
            <w:tcW w:w="5475" w:type="dxa"/>
          </w:tcPr>
          <w:p w14:paraId="7D8915B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Điều 6 (Hợp đồng liên kết), đề nghị bổ sung trách nhiệm cụ thể của các đối tượng (Chủ trì liên kết, đối tượng khác tham gia liên kết chuỗi) vào nội dung của hợp đồng</w:t>
            </w:r>
          </w:p>
        </w:tc>
        <w:tc>
          <w:tcPr>
            <w:tcW w:w="4567" w:type="dxa"/>
          </w:tcPr>
          <w:p w14:paraId="0F133E6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T</w:t>
            </w:r>
            <w:r>
              <w:rPr>
                <w:rFonts w:hint="default" w:ascii="Times New Roman" w:hAnsi="Times New Roman" w:cs="Times New Roman"/>
                <w:sz w:val="26"/>
                <w:szCs w:val="26"/>
              </w:rPr>
              <w:t>iếp thu theo hướng bổ sung nội dung về quyền, nghĩa vụ, trách nhiệm và cơ chế phối hợp của các bên tham gia liên kết là nội dung chủ yếu của hợp đồng</w:t>
            </w:r>
            <w:r>
              <w:rPr>
                <w:rFonts w:hint="default" w:ascii="Times New Roman" w:hAnsi="Times New Roman" w:cs="Times New Roman"/>
                <w:sz w:val="26"/>
                <w:szCs w:val="26"/>
                <w:lang w:val="en-US"/>
              </w:rPr>
              <w:t xml:space="preserve">. Các </w:t>
            </w:r>
            <w:r>
              <w:rPr>
                <w:rFonts w:hint="default" w:ascii="Times New Roman" w:hAnsi="Times New Roman" w:cs="Times New Roman"/>
                <w:sz w:val="26"/>
                <w:szCs w:val="26"/>
              </w:rPr>
              <w:t>bên</w:t>
            </w:r>
            <w:r>
              <w:rPr>
                <w:rFonts w:hint="default" w:ascii="Times New Roman" w:hAnsi="Times New Roman" w:cs="Times New Roman"/>
                <w:sz w:val="26"/>
                <w:szCs w:val="26"/>
                <w:lang w:val="en-US"/>
              </w:rPr>
              <w:t xml:space="preserve"> them gia liên kết</w:t>
            </w:r>
            <w:r>
              <w:rPr>
                <w:rFonts w:hint="default" w:ascii="Times New Roman" w:hAnsi="Times New Roman" w:cs="Times New Roman"/>
                <w:sz w:val="26"/>
                <w:szCs w:val="26"/>
              </w:rPr>
              <w:t xml:space="preserve"> tự thỏa thuận cụ thể trong hợp đồng phù hợp với tính chất liên kết và quy định của pháp luật dân sự, thương mại.</w:t>
            </w:r>
          </w:p>
        </w:tc>
      </w:tr>
      <w:tr w14:paraId="14A0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78B763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C42BC4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sz w:val="26"/>
                <w:szCs w:val="26"/>
                <w:lang w:val="vi-VN"/>
              </w:rPr>
              <w:t>Điều 7. Cơ chế bảo đảm thực hiện liên kết</w:t>
            </w:r>
            <w:r>
              <w:rPr>
                <w:rFonts w:hint="default" w:ascii="Times New Roman" w:hAnsi="Times New Roman" w:eastAsia="Times New Roman" w:cs="Times New Roman"/>
                <w:b/>
                <w:bCs/>
                <w:sz w:val="26"/>
                <w:szCs w:val="26"/>
              </w:rPr>
              <w:t xml:space="preserve"> bền vững</w:t>
            </w:r>
          </w:p>
        </w:tc>
        <w:tc>
          <w:tcPr>
            <w:tcW w:w="1898" w:type="dxa"/>
          </w:tcPr>
          <w:p w14:paraId="473DAE4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5475" w:type="dxa"/>
          </w:tcPr>
          <w:p w14:paraId="2453ECB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42AD7CF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r>
      <w:tr w14:paraId="53FA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6275A58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0587A7D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12CC4A7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Cà Mau</w:t>
            </w:r>
          </w:p>
        </w:tc>
        <w:tc>
          <w:tcPr>
            <w:tcW w:w="5475" w:type="dxa"/>
          </w:tcPr>
          <w:p w14:paraId="45C41C4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Tại điều 7 Đ</w:t>
            </w:r>
            <w:r>
              <w:rPr>
                <w:rFonts w:hint="default" w:ascii="Times New Roman" w:hAnsi="Times New Roman" w:cs="Times New Roman"/>
                <w:sz w:val="26"/>
                <w:szCs w:val="26"/>
              </w:rPr>
              <w:t>ề nghị đơn vị soạn thảo nghiên cứu bổ sung thêm một (01) khoản như sau: Gia tăng tính ràng buộc của hợp đồng liên kết bằng các biện pháp như sau: a) Trong hợp đồng có điều khoản phạt, bồi thường tránh tình trạng cam kết chung chung, khó xử lý khi xảy ra phá vỡ; b) Gắn việc hưởng hỗ trợ của Nhà nước với nghĩa vụ ký quỹ hoặc bảo lãnh thực hiện hợp đồng; c) Thiết kế cơ chế giá linh hoạt bắt buộc nhằm hài hòa lợi ích khi thị trường biến động; d) Công khai chủ thể thường xuyên phá vỡ, củng cố uy tín các bên tham gia liên kết; đ) Tăng quyền cho chủ trì liên kết trong điều phối, giám sát và áp dụng chế tài nội bộ theo thỏa thuận, giúp chuỗi vận hành</w:t>
            </w:r>
          </w:p>
        </w:tc>
        <w:tc>
          <w:tcPr>
            <w:tcW w:w="4567" w:type="dxa"/>
          </w:tcPr>
          <w:p w14:paraId="7A6504B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Việc </w:t>
            </w:r>
            <w:r>
              <w:rPr>
                <w:rFonts w:hint="default" w:ascii="Times New Roman" w:hAnsi="Times New Roman" w:cs="Times New Roman"/>
                <w:sz w:val="26"/>
                <w:szCs w:val="26"/>
                <w:lang w:val="vi-VN"/>
              </w:rPr>
              <w:t>tăng tính ràng buộc và khả năng thực thi của hợp đồng liên kết nhằm hạn chế tình trạng phá vỡ liên kết khi thị trường biến động</w:t>
            </w:r>
            <w:r>
              <w:rPr>
                <w:rFonts w:hint="default" w:ascii="Times New Roman" w:hAnsi="Times New Roman" w:cs="Times New Roman"/>
                <w:sz w:val="26"/>
                <w:szCs w:val="26"/>
                <w:lang w:val="en-US"/>
              </w:rPr>
              <w:t xml:space="preserve"> là cần thiết</w:t>
            </w:r>
            <w:r>
              <w:rPr>
                <w:rFonts w:hint="default" w:ascii="Times New Roman" w:hAnsi="Times New Roman" w:cs="Times New Roman"/>
                <w:sz w:val="26"/>
                <w:szCs w:val="26"/>
                <w:lang w:val="vi-VN"/>
              </w:rPr>
              <w:t>. Tuy nhiên, không quy định cứng hoặc bắt buộc áp dụng các biện pháp cụ thể trong Nghị định, do hợp đồng liên kết là quan hệ dân sự, thương mại và phụ thuộc đặc thù ngành hàng, quy mô liên kết, mức độ tín nhiệm giữa các bên.</w:t>
            </w:r>
            <w:r>
              <w:rPr>
                <w:rFonts w:hint="default" w:ascii="Times New Roman" w:hAnsi="Times New Roman" w:cs="Times New Roman"/>
                <w:sz w:val="26"/>
                <w:szCs w:val="26"/>
                <w:lang w:val="en-US"/>
              </w:rPr>
              <w:t xml:space="preserve"> Vì vậy, tiếp thu, bổ sung trong hướng dẫn quy định nội dung Hợp đồng liên kết tại Khoản 2, Điều 6 của dự thảo Nghị định.</w:t>
            </w:r>
          </w:p>
        </w:tc>
      </w:tr>
      <w:tr w14:paraId="69EF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77BB275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2262CAE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4AC8F02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PGS.TS Chu Tiến Quang</w:t>
            </w:r>
          </w:p>
        </w:tc>
        <w:tc>
          <w:tcPr>
            <w:tcW w:w="5475" w:type="dxa"/>
          </w:tcPr>
          <w:p w14:paraId="21D9C6E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Làm rõ cơ chế bảo đảm thực hiện liên kết, tránh tạo áp lực cho nông dân và HTX.</w:t>
            </w:r>
          </w:p>
        </w:tc>
        <w:tc>
          <w:tcPr>
            <w:tcW w:w="4567" w:type="dxa"/>
          </w:tcPr>
          <w:p w14:paraId="5716AF0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Chỉnh lý Điều 7 theo hướng quy định rõ hơn nguyên tắc, công cụ và biện pháp bảo đảm thực hiện liên kết.</w:t>
            </w:r>
          </w:p>
        </w:tc>
      </w:tr>
      <w:tr w14:paraId="6218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9095B28">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441B7AF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eastAsia="Times New Roman" w:cs="Times New Roman"/>
                <w:sz w:val="26"/>
                <w:szCs w:val="26"/>
                <w:lang w:val="vi-VN"/>
              </w:rPr>
              <w:t>1. Nguyên tắc bảo đảm thực hiện liên kết</w:t>
            </w:r>
            <w:r>
              <w:rPr>
                <w:rFonts w:hint="default" w:ascii="Times New Roman" w:hAnsi="Times New Roman" w:eastAsia="Times New Roman" w:cs="Times New Roman"/>
                <w:sz w:val="26"/>
                <w:szCs w:val="26"/>
              </w:rPr>
              <w:t xml:space="preserve"> bền vững: </w:t>
            </w:r>
            <w:r>
              <w:rPr>
                <w:rFonts w:hint="default" w:ascii="Times New Roman" w:hAnsi="Times New Roman" w:eastAsia="Times New Roman" w:cs="Times New Roman"/>
                <w:sz w:val="26"/>
                <w:szCs w:val="26"/>
                <w:lang w:val="vi-VN"/>
              </w:rPr>
              <w:t xml:space="preserve">Việc thực hiện hợp đồng liên kết phải được bảo đảm thông qua các thỏa thuận của các bên và các biện pháp bảo đảm theo quy định của pháp luật, nhằm giảm thiểu rủi ro, bảo vệ quyền và lợi ích hợp pháp của các bên tham gia </w:t>
            </w:r>
            <w:r>
              <w:rPr>
                <w:rFonts w:hint="default" w:ascii="Times New Roman" w:hAnsi="Times New Roman" w:eastAsia="Times New Roman" w:cs="Times New Roman"/>
                <w:sz w:val="26"/>
                <w:szCs w:val="26"/>
              </w:rPr>
              <w:t xml:space="preserve">liên kết </w:t>
            </w:r>
            <w:r>
              <w:rPr>
                <w:rFonts w:hint="default" w:ascii="Times New Roman" w:hAnsi="Times New Roman" w:eastAsia="Times New Roman" w:cs="Times New Roman"/>
                <w:sz w:val="26"/>
                <w:szCs w:val="26"/>
                <w:lang w:val="vi-VN"/>
              </w:rPr>
              <w:t>chuỗi giá trị.</w:t>
            </w:r>
          </w:p>
        </w:tc>
        <w:tc>
          <w:tcPr>
            <w:tcW w:w="1898" w:type="dxa"/>
            <w:shd w:val="clear" w:color="auto" w:fill="auto"/>
            <w:vAlign w:val="top"/>
          </w:tcPr>
          <w:p w14:paraId="6D49CDA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Bộ Tư pháp</w:t>
            </w:r>
          </w:p>
        </w:tc>
        <w:tc>
          <w:tcPr>
            <w:tcW w:w="5475" w:type="dxa"/>
            <w:shd w:val="clear" w:color="auto" w:fill="auto"/>
            <w:vAlign w:val="top"/>
          </w:tcPr>
          <w:p w14:paraId="4363F4D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Đề nghị rà soát m</w:t>
            </w:r>
            <w:r>
              <w:rPr>
                <w:rFonts w:hint="default" w:ascii="Times New Roman" w:hAnsi="Times New Roman" w:cs="Times New Roman"/>
                <w:sz w:val="26"/>
                <w:szCs w:val="26"/>
              </w:rPr>
              <w:t>ột số nội dung tại dự thảo Nghị định chưa mang tính quy phạm (ví dụ: khoản 3 Điều 6, khoản 1 Điều 7...), chỉnh lý cho phù hợp với quy định của Luật Ban hành văn bản quy phạm pháp luật...</w:t>
            </w:r>
          </w:p>
        </w:tc>
        <w:tc>
          <w:tcPr>
            <w:tcW w:w="4567" w:type="dxa"/>
            <w:shd w:val="clear" w:color="auto" w:fill="auto"/>
            <w:vAlign w:val="top"/>
          </w:tcPr>
          <w:p w14:paraId="6CB475C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en-US"/>
              </w:rPr>
              <w:t>Tiếp thu. Đã rà soát, chỉnh sửa</w:t>
            </w:r>
          </w:p>
        </w:tc>
      </w:tr>
      <w:tr w14:paraId="55BE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trPr>
        <w:tc>
          <w:tcPr>
            <w:tcW w:w="781" w:type="dxa"/>
            <w:vMerge w:val="restart"/>
          </w:tcPr>
          <w:p w14:paraId="66CD699C">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restart"/>
          </w:tcPr>
          <w:p w14:paraId="34E926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2. Biện pháp bảo đảm thực hiện liên kết</w:t>
            </w:r>
          </w:p>
          <w:p w14:paraId="31D9BB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Các bên tham gia liên kết chuỗi giá trị được thỏa thuận áp dụng một hoặc một số biện pháp sau đây nhằm bảo đảm thực hiện hợp đồng, hạn chế rủi ro và nâng cao tính ổn định của liên kết:</w:t>
            </w:r>
          </w:p>
          <w:p w14:paraId="22130B3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a) Áp dụng các biện pháp bảo đảm thực hiện nghĩa vụ theo quy định của pháp luật dân sự, bao gồm</w:t>
            </w:r>
            <w:r>
              <w:rPr>
                <w:rFonts w:hint="default" w:ascii="Times New Roman" w:hAnsi="Times New Roman" w:eastAsia="Times New Roman" w:cs="Times New Roman"/>
                <w:sz w:val="26"/>
                <w:szCs w:val="26"/>
              </w:rPr>
              <w:t>:</w:t>
            </w:r>
            <w:r>
              <w:rPr>
                <w:rFonts w:hint="default" w:ascii="Times New Roman" w:hAnsi="Times New Roman" w:eastAsia="Times New Roman" w:cs="Times New Roman"/>
                <w:sz w:val="26"/>
                <w:szCs w:val="26"/>
                <w:lang w:val="vi-VN"/>
              </w:rPr>
              <w:t xml:space="preserve"> đặt cọc, ký cược, ký quỹ, bảo lãnh và các biện pháp hợp pháp khác;</w:t>
            </w:r>
          </w:p>
          <w:p w14:paraId="3AFA1FC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b) Thỏa thuận cơ chế thanh toán, tạm ứng, khấu trừ hoặc giữ lại một phần giá trị hợp đồng gắn với tiến độ thực hiện và mức độ tuân thủ nghĩa vụ của các bên;</w:t>
            </w:r>
          </w:p>
          <w:p w14:paraId="35A66DB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c) Tham gia bảo hiểm nông nghiệp, bảo hiểm rủi ro sản xuất, thiên tai, dịch bệnh hoặc rủi ro thị trường theo quy định của pháp luật;</w:t>
            </w:r>
          </w:p>
          <w:p w14:paraId="633AD3E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d) Thỏa thuận cơ chế điều chỉnh linh hoạt về sản lượng, giá cả, thời gian giao nhận và các điều kiện thực hiện hợp đồng trong trường hợp xảy ra sự kiện bất khả kháng hoặc biến động lớn của thị trường;</w:t>
            </w:r>
          </w:p>
          <w:p w14:paraId="2369227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đ) Thỏa thuận cơ chế chia sẻ rủi ro và lợi ích giữa các bên trong chuỗi giá trị, bao gồm phân bổ tổn thất, hỗ trợ chi phí và điều chỉnh nghĩa vụ thực hiện hợp đồng trong các tình huống rủi ro;</w:t>
            </w:r>
          </w:p>
          <w:p w14:paraId="6874E4B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e) Thỏa thuận cơ chế giám sát, đánh giá việc thực hiện hợp đồng, cung cấp và minh bạch thông tin về sản xuất, chất lượng, thị trường và truy xuất nguồn gốc nhằm phòng ngừa vi phạm hợp đồng;</w:t>
            </w:r>
          </w:p>
          <w:p w14:paraId="6F7E387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g) Các biện pháp khác phù hợp với đặc thù ngành hàng và quy định của pháp luật có liên quan.</w:t>
            </w:r>
          </w:p>
        </w:tc>
        <w:tc>
          <w:tcPr>
            <w:tcW w:w="1898" w:type="dxa"/>
            <w:shd w:val="clear" w:color="auto" w:fill="auto"/>
            <w:vAlign w:val="top"/>
          </w:tcPr>
          <w:p w14:paraId="54E105E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Bộ Tư pháp; Cục Thủy sản và </w:t>
            </w: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iểm ngư</w:t>
            </w:r>
          </w:p>
          <w:p w14:paraId="4CBD7FF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p w14:paraId="5EC6857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shd w:val="clear" w:color="auto" w:fill="auto"/>
            <w:vAlign w:val="top"/>
          </w:tcPr>
          <w:p w14:paraId="69618BC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Hiện nay, Bộ luật Dân sự năm 2015 quy định 9 biện pháp bảo đảm thực hiện nghĩa vụ (Điều 292), bao gồm cầm cố, thế chấp, đặt cọc, ký cược, ký quỹ, bảo lưu quyền sở hữu, bảo lãnh, tín chấp, cầm giữ tài sản. Do đó, cơ quan chủ trì soạn thảo cần rà soát, liệt kê đầy đủ các biện pháp bảo đảm thực hiện nghĩa vụ hoặc chỉ viện dẫn thực hiện theo quy định của pháp luật dân sự nhằm bảo đảm tính đầy đủ, thống nhất. Ngoài ra, đề nghị cơ quan chủ trì soạn thảo cân nhắc chỉnh lý tiêu đề “biện pháp bảo đảm thực hiện liên kết” tại khoản 2 Điều 7 dự thảo Nghị định thành “cơ chế bảo đảm” để phù hợp với các nội dung tại điều khoản này.</w:t>
            </w:r>
          </w:p>
        </w:tc>
        <w:tc>
          <w:tcPr>
            <w:tcW w:w="4567" w:type="dxa"/>
            <w:shd w:val="clear" w:color="auto" w:fill="auto"/>
            <w:vAlign w:val="top"/>
          </w:tcPr>
          <w:p w14:paraId="4EFBB8C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chỉnh sửa, bổ sung</w:t>
            </w:r>
          </w:p>
        </w:tc>
      </w:tr>
      <w:tr w14:paraId="4691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5826FF9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6B296B7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2F0DE73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chuyển đổi số</w:t>
            </w:r>
          </w:p>
        </w:tc>
        <w:tc>
          <w:tcPr>
            <w:tcW w:w="5475" w:type="dxa"/>
          </w:tcPr>
          <w:p w14:paraId="436B069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Đ</w:t>
            </w:r>
            <w:r>
              <w:rPr>
                <w:rFonts w:hint="default" w:ascii="Times New Roman" w:hAnsi="Times New Roman" w:cs="Times New Roman"/>
                <w:sz w:val="26"/>
                <w:szCs w:val="26"/>
              </w:rPr>
              <w:t>ề nghị bổ sung quy định về bảo vệ quyền lợi của đối tượng yếu thế như người lao động, nông dân khi phát sinh tranh chấp liên quan đến hợp đồng liên kết. Đồng thời, xem xét quy định chặt chẽ hơn đối với cơ chế phòng ngừa rủi ro trong liên kết, như bắt buộc áp dụng bảo hiểm rủi ro trong sản xuất và tiêu thụ sản phẩm nông nghiệp theo điểm c khoản 2 Điều 7 hoặc chuyển từ cơ chế “khuyến khích” sang “bắt buộc” hình thành quỹ dự phòng rủi ro trong liên kết tại điểm c Điều 15 nhằm bảo đảm tính bền vững của chuỗi liên kết.</w:t>
            </w:r>
          </w:p>
        </w:tc>
        <w:tc>
          <w:tcPr>
            <w:tcW w:w="4567" w:type="dxa"/>
          </w:tcPr>
          <w:p w14:paraId="7BE9774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Không tiếp thu. V</w:t>
            </w:r>
            <w:r>
              <w:rPr>
                <w:rFonts w:hint="default" w:ascii="Times New Roman" w:hAnsi="Times New Roman" w:cs="Times New Roman"/>
                <w:sz w:val="26"/>
                <w:szCs w:val="26"/>
                <w:lang w:val="vi-VN"/>
              </w:rPr>
              <w:t>iệc quy định bắt buộc bảo hiểm nông nghiệp hoặc quỹ dự phòng rủi ro đối với mọi chuỗi liên kết là chưa phù hợp do đặc thù đa dạng ngành hàng, quy mô sản xuất và điều kiện thực tiễn; đồng thời pháp luật hiện hành về bảo hiểm nông nghiệp chủ yếu thực hiện theo cơ chế hỗ trợ, khuyến khích. Dự thảo quy định theo hướng khuyến khích áp dụng, đồng thời bổ sung nội dung ưu tiên bảo vệ quyền lợi của người sản xuất trong hợp đồng liên kết.</w:t>
            </w:r>
          </w:p>
        </w:tc>
      </w:tr>
      <w:tr w14:paraId="6F70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4DFE0BC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2615FA7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3435F9F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Sở Nông nghiệp và Môi trường TP Hà Nội</w:t>
            </w:r>
          </w:p>
        </w:tc>
        <w:tc>
          <w:tcPr>
            <w:tcW w:w="5475" w:type="dxa"/>
          </w:tcPr>
          <w:p w14:paraId="15C3AA63">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eastAsia="Times New Roman" w:cs="Times New Roman"/>
                <w:spacing w:val="-12"/>
                <w:sz w:val="26"/>
                <w:szCs w:val="26"/>
                <w:lang w:eastAsia="vi-VN"/>
              </w:rPr>
              <w:t>T</w:t>
            </w:r>
            <w:r>
              <w:rPr>
                <w:rFonts w:hint="default" w:ascii="Times New Roman" w:hAnsi="Times New Roman" w:eastAsia="Times New Roman" w:cs="Times New Roman"/>
                <w:spacing w:val="-12"/>
                <w:sz w:val="26"/>
                <w:szCs w:val="26"/>
                <w:lang w:val="vi-VN" w:eastAsia="vi-VN"/>
              </w:rPr>
              <w:t>ại điểm a khoản 2 Điều 7)</w:t>
            </w:r>
            <w:r>
              <w:rPr>
                <w:rFonts w:hint="default" w:ascii="Times New Roman" w:hAnsi="Times New Roman" w:eastAsia="Times New Roman" w:cs="Times New Roman"/>
                <w:b/>
                <w:bCs/>
                <w:spacing w:val="-12"/>
                <w:sz w:val="26"/>
                <w:szCs w:val="26"/>
                <w:lang w:eastAsia="vi-VN"/>
              </w:rPr>
              <w:t xml:space="preserve"> </w:t>
            </w:r>
            <w:r>
              <w:rPr>
                <w:rFonts w:hint="default" w:ascii="Times New Roman" w:hAnsi="Times New Roman" w:eastAsia="Times New Roman" w:cs="Times New Roman"/>
                <w:b/>
                <w:bCs/>
                <w:spacing w:val="-12"/>
                <w:sz w:val="26"/>
                <w:szCs w:val="26"/>
                <w:lang w:val="en-US" w:eastAsia="vi-VN"/>
              </w:rPr>
              <w:t xml:space="preserve"> </w:t>
            </w:r>
            <w:r>
              <w:rPr>
                <w:rFonts w:hint="default" w:ascii="Times New Roman" w:hAnsi="Times New Roman" w:eastAsia="Times New Roman" w:cs="Times New Roman"/>
                <w:spacing w:val="-12"/>
                <w:sz w:val="26"/>
                <w:szCs w:val="26"/>
                <w:lang w:eastAsia="vi-VN"/>
              </w:rPr>
              <w:t>đ</w:t>
            </w:r>
            <w:r>
              <w:rPr>
                <w:rFonts w:hint="default" w:ascii="Times New Roman" w:hAnsi="Times New Roman" w:cs="Times New Roman"/>
                <w:sz w:val="26"/>
                <w:szCs w:val="26"/>
              </w:rPr>
              <w:t xml:space="preserve">ề nghị cơ quan soạn thảo nghiên cứu </w:t>
            </w:r>
            <w:r>
              <w:rPr>
                <w:rFonts w:hint="default" w:ascii="Times New Roman" w:hAnsi="Times New Roman" w:cs="Times New Roman"/>
                <w:sz w:val="26"/>
                <w:szCs w:val="26"/>
                <w:lang w:val="vi-VN"/>
              </w:rPr>
              <w:t>bỏ nội dung</w:t>
            </w:r>
            <w:r>
              <w:rPr>
                <w:rFonts w:hint="default" w:ascii="Times New Roman" w:hAnsi="Times New Roman" w:cs="Times New Roman"/>
                <w:sz w:val="26"/>
                <w:szCs w:val="26"/>
              </w:rPr>
              <w:t xml:space="preserve"> này</w:t>
            </w:r>
            <w:r>
              <w:rPr>
                <w:rFonts w:hint="default" w:ascii="Times New Roman" w:hAnsi="Times New Roman" w:cs="Times New Roman"/>
                <w:sz w:val="26"/>
                <w:szCs w:val="26"/>
                <w:lang w:val="vi-VN"/>
              </w:rPr>
              <w:t xml:space="preserve"> vì áp dụng biện pháp này </w:t>
            </w:r>
            <w:r>
              <w:rPr>
                <w:rFonts w:hint="default" w:ascii="Times New Roman" w:hAnsi="Times New Roman" w:cs="Times New Roman"/>
                <w:sz w:val="26"/>
                <w:szCs w:val="26"/>
              </w:rPr>
              <w:t>thường rất khó khả thi vì tính chất phức tạp của thủ tục và năng lực tài chính của các chủ thể liên quan</w:t>
            </w:r>
            <w:r>
              <w:rPr>
                <w:rFonts w:hint="default" w:ascii="Times New Roman" w:hAnsi="Times New Roman" w:cs="Times New Roman"/>
                <w:sz w:val="26"/>
                <w:szCs w:val="26"/>
                <w:lang w:val="vi-VN"/>
              </w:rPr>
              <w:t xml:space="preserve"> cụ thể: (1) Đ</w:t>
            </w:r>
            <w:r>
              <w:rPr>
                <w:rFonts w:hint="default" w:ascii="Times New Roman" w:hAnsi="Times New Roman" w:cs="Times New Roman"/>
                <w:sz w:val="26"/>
                <w:szCs w:val="26"/>
              </w:rPr>
              <w:t>ối với các hợp tác xã hoặc hộ nông dân, việc bỏ ra một khoản tiền mặt để "</w:t>
            </w:r>
            <w:r>
              <w:rPr>
                <w:rFonts w:hint="default" w:ascii="Times New Roman" w:hAnsi="Times New Roman" w:eastAsia="Times New Roman" w:cs="Times New Roman"/>
                <w:sz w:val="26"/>
                <w:szCs w:val="26"/>
                <w:lang w:val="vi-VN"/>
              </w:rPr>
              <w:t>đặt cọc, ký cược, ký quỹ hoặc bảo lãnh</w:t>
            </w:r>
            <w:r>
              <w:rPr>
                <w:rFonts w:hint="default" w:ascii="Times New Roman" w:hAnsi="Times New Roman" w:cs="Times New Roman"/>
                <w:sz w:val="26"/>
                <w:szCs w:val="26"/>
              </w:rPr>
              <w:t>" là gánh nặng lớn, làm đứt gãy dòng vốn sản xuất vốn đã eo hẹp; (2) Các biện pháp này đòi hỏi quy trình phong tỏa tài khoản tại ngân hàng hoặc ký kết hợp đồng bảo đảm rất phức tạp, không phù hợp với tác phong làm việc nhanh gọn trong sản xuất nông nghiệp</w:t>
            </w:r>
            <w:r>
              <w:rPr>
                <w:rFonts w:hint="default" w:ascii="Times New Roman" w:hAnsi="Times New Roman" w:cs="Times New Roman"/>
                <w:sz w:val="26"/>
                <w:szCs w:val="26"/>
                <w:lang w:val="vi-VN"/>
              </w:rPr>
              <w:t xml:space="preserve">; (3) </w:t>
            </w:r>
            <w:r>
              <w:rPr>
                <w:rFonts w:hint="default" w:ascii="Times New Roman" w:hAnsi="Times New Roman" w:cs="Times New Roman"/>
                <w:sz w:val="26"/>
                <w:szCs w:val="26"/>
              </w:rPr>
              <w:t>Chi phí để thiết lập một biện pháp bảo lãnh ngân hàng đôi khi còn cao hơn lợi ích mà chính sách mang lại.</w:t>
            </w:r>
          </w:p>
        </w:tc>
        <w:tc>
          <w:tcPr>
            <w:tcW w:w="4567" w:type="dxa"/>
          </w:tcPr>
          <w:p w14:paraId="0E6C652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K</w:t>
            </w:r>
            <w:r>
              <w:rPr>
                <w:rFonts w:hint="default" w:ascii="Times New Roman" w:hAnsi="Times New Roman" w:cs="Times New Roman"/>
                <w:sz w:val="26"/>
                <w:szCs w:val="26"/>
              </w:rPr>
              <w:t>hông tiếp thu</w:t>
            </w:r>
            <w:r>
              <w:rPr>
                <w:rFonts w:hint="default" w:ascii="Times New Roman" w:hAnsi="Times New Roman" w:cs="Times New Roman"/>
                <w:sz w:val="26"/>
                <w:szCs w:val="26"/>
                <w:lang w:val="en-US"/>
              </w:rPr>
              <w:t xml:space="preserve">. Lí do </w:t>
            </w:r>
            <w:r>
              <w:rPr>
                <w:rFonts w:hint="default" w:ascii="Times New Roman" w:hAnsi="Times New Roman" w:cs="Times New Roman"/>
                <w:sz w:val="26"/>
                <w:szCs w:val="26"/>
              </w:rPr>
              <w:t>ự thảo không quy định bắt buộc áp dụng các biện pháp bảo đảm như đặt cọc, ký quỹ, bảo lãnh mà chỉ cho phép các bên tự thỏa thuận áp dụng phù hợp với nhu cầu và năng lực thực tế. Quy định này nhằm tạo cơ sở pháp lý linh hoạt cho các chuỗi liên kết quy mô lớn hoặc có nhu cầu kiểm soát rủi ro cao, không làm phát sinh gánh nặng bắt buộc đối với hợp tác xã, hộ nông dân.</w:t>
            </w:r>
          </w:p>
        </w:tc>
      </w:tr>
      <w:tr w14:paraId="62FE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7AF811C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5992E11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1DD940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 xml:space="preserve">Học viện </w:t>
            </w:r>
            <w:r>
              <w:rPr>
                <w:rFonts w:hint="default" w:ascii="Times New Roman" w:hAnsi="Times New Roman" w:cs="Times New Roman"/>
                <w:sz w:val="26"/>
                <w:szCs w:val="26"/>
                <w:lang w:val="en-US"/>
              </w:rPr>
              <w:t>N</w:t>
            </w:r>
            <w:r>
              <w:rPr>
                <w:rFonts w:hint="default" w:ascii="Times New Roman" w:hAnsi="Times New Roman" w:cs="Times New Roman"/>
                <w:sz w:val="26"/>
                <w:szCs w:val="26"/>
                <w:lang w:val="vi-VN"/>
              </w:rPr>
              <w:t>ông nghiệp Việt Nam</w:t>
            </w:r>
          </w:p>
        </w:tc>
        <w:tc>
          <w:tcPr>
            <w:tcW w:w="5475" w:type="dxa"/>
            <w:shd w:val="clear" w:color="auto" w:fill="auto"/>
            <w:vAlign w:val="top"/>
          </w:tcPr>
          <w:p w14:paraId="0BB272B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Đề nghị sửa đổi, bổ sung nội dung quyền quyết định vào cơ chế chia sẻ lợi ích, rủi ro và quyền quyết định.</w:t>
            </w:r>
          </w:p>
          <w:p w14:paraId="109BF24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 xml:space="preserve">Lý do: </w:t>
            </w:r>
            <w:r>
              <w:rPr>
                <w:rFonts w:hint="default" w:ascii="Times New Roman" w:hAnsi="Times New Roman" w:cs="Times New Roman"/>
                <w:sz w:val="26"/>
                <w:szCs w:val="26"/>
              </w:rPr>
              <w:t xml:space="preserve">Bên cạnh chia sẻ lợi ích, rủi ro thì phân chia “quyền quyết định” của các bên tham gia liên kết cũng là nội dung quan trọng ảnh hưởng đến kết quả và hiệu quả liên kết. </w:t>
            </w:r>
            <w:r>
              <w:rPr>
                <w:rFonts w:hint="default" w:ascii="Times New Roman" w:hAnsi="Times New Roman" w:cs="Times New Roman"/>
                <w:sz w:val="26"/>
                <w:szCs w:val="26"/>
                <w:lang w:val="en-US"/>
              </w:rPr>
              <w:t>V</w:t>
            </w:r>
            <w:r>
              <w:rPr>
                <w:rFonts w:hint="default" w:ascii="Times New Roman" w:hAnsi="Times New Roman" w:cs="Times New Roman"/>
                <w:sz w:val="26"/>
                <w:szCs w:val="26"/>
              </w:rPr>
              <w:t xml:space="preserve">í dụ, hộ nông dân tham gia liên kết có </w:t>
            </w:r>
            <w:r>
              <w:rPr>
                <w:rFonts w:hint="default" w:ascii="Times New Roman" w:hAnsi="Times New Roman" w:cs="Times New Roman"/>
                <w:sz w:val="26"/>
                <w:szCs w:val="26"/>
                <w:lang w:val="vi-VN"/>
              </w:rPr>
              <w:t>được</w:t>
            </w:r>
            <w:r>
              <w:rPr>
                <w:rFonts w:hint="default" w:ascii="Times New Roman" w:hAnsi="Times New Roman" w:cs="Times New Roman"/>
                <w:sz w:val="26"/>
                <w:szCs w:val="26"/>
              </w:rPr>
              <w:t xml:space="preserve"> tự do mua nguyên liệu đầu </w:t>
            </w:r>
            <w:r>
              <w:rPr>
                <w:rFonts w:hint="default" w:ascii="Times New Roman" w:hAnsi="Times New Roman" w:cs="Times New Roman"/>
                <w:sz w:val="26"/>
                <w:szCs w:val="26"/>
                <w:lang w:val="vi-VN"/>
              </w:rPr>
              <w:t xml:space="preserve">vào </w:t>
            </w:r>
            <w:r>
              <w:rPr>
                <w:rFonts w:hint="default" w:ascii="Times New Roman" w:hAnsi="Times New Roman" w:cs="Times New Roman"/>
                <w:sz w:val="26"/>
                <w:szCs w:val="26"/>
              </w:rPr>
              <w:t xml:space="preserve">(giống, phân bón, </w:t>
            </w:r>
            <w:r>
              <w:rPr>
                <w:rFonts w:hint="default" w:ascii="Times New Roman" w:hAnsi="Times New Roman" w:cs="Times New Roman"/>
                <w:sz w:val="26"/>
                <w:szCs w:val="26"/>
                <w:lang w:val="vi-VN"/>
              </w:rPr>
              <w:t>thuố</w:t>
            </w:r>
            <w:r>
              <w:rPr>
                <w:rFonts w:hint="default" w:ascii="Times New Roman" w:hAnsi="Times New Roman" w:cs="Times New Roman"/>
                <w:sz w:val="26"/>
                <w:szCs w:val="26"/>
              </w:rPr>
              <w:t>c BVTV,...) trên thị trường không hay phải mua của các nhà cung cấp theo quy định trong hợp đồng liên kết.</w:t>
            </w:r>
          </w:p>
        </w:tc>
        <w:tc>
          <w:tcPr>
            <w:tcW w:w="4567" w:type="dxa"/>
          </w:tcPr>
          <w:p w14:paraId="32F4D5E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Tiếp thu. B</w:t>
            </w:r>
            <w:r>
              <w:rPr>
                <w:rFonts w:hint="default" w:ascii="Times New Roman" w:hAnsi="Times New Roman" w:cs="Times New Roman"/>
                <w:sz w:val="26"/>
                <w:szCs w:val="26"/>
              </w:rPr>
              <w:t>ổ sung theo hướng các bên được thỏa thuận về quyền, nghĩa vụ và cơ chế phối hợp trong thực hiện hợp đồng liên kết, không quy định cứng trong Nghị định.</w:t>
            </w:r>
          </w:p>
        </w:tc>
      </w:tr>
      <w:tr w14:paraId="09ED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329E3C0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374FCD0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7F6E007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Bộ Tư pháp</w:t>
            </w:r>
          </w:p>
        </w:tc>
        <w:tc>
          <w:tcPr>
            <w:tcW w:w="5475" w:type="dxa"/>
            <w:shd w:val="clear" w:color="auto" w:fill="auto"/>
            <w:vAlign w:val="top"/>
          </w:tcPr>
          <w:p w14:paraId="282877C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Đề nghị làm rõ ranh giới giữa việc “hỗ trợ rủi ro” từ ngân sách nhà nước và các biện pháp bảo đảm dân sự của các bên. Lý do: Nhằm giảm gánh nặng chi cho ngân sách nhà nước khi phát sinh các rủi ro do lỗi chủ quan vi phạm hợp đồng liên kết của các chủ thể.</w:t>
            </w:r>
          </w:p>
        </w:tc>
        <w:tc>
          <w:tcPr>
            <w:tcW w:w="4567" w:type="dxa"/>
          </w:tcPr>
          <w:p w14:paraId="447B62F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Các rủi ro phát sinh do vi phạm nghĩa vụ hợp đồng thuộc trách nhiệm xử lý của các bên theo hợp đồng và quy định của pháp luật dân sự; Nhà nước chỉ xem xét hỗ trợ đối với các trường hợp rủi ro khách quan, bất khả kháng hoặc theo chính sách hỗ trợ rủi ro được cấp có thẩm quyền ban hành, bảo đảm không phát sinh bao cấp từ ngân sách đối với lỗi chủ quan của các bên tham gia liên kết.</w:t>
            </w:r>
          </w:p>
        </w:tc>
      </w:tr>
      <w:tr w14:paraId="0ACCA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230CE18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0BD90FD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6C90646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Trung tâm Khuyến nông Quốc gia</w:t>
            </w:r>
          </w:p>
        </w:tc>
        <w:tc>
          <w:tcPr>
            <w:tcW w:w="5475" w:type="dxa"/>
            <w:shd w:val="clear" w:color="auto" w:fill="auto"/>
            <w:vAlign w:val="top"/>
          </w:tcPr>
          <w:p w14:paraId="5FF6133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Bổ sung cơ chế ký quỹ, bảo hiểm trách nhiệm thực hiện liên kết đối với dự án quy mô lớn.</w:t>
            </w:r>
          </w:p>
        </w:tc>
        <w:tc>
          <w:tcPr>
            <w:tcW w:w="4567" w:type="dxa"/>
          </w:tcPr>
          <w:p w14:paraId="5C9AE26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một phần. Bổ sung nội dung khuyến khích áp dụng ký quỹ, bảo hiểm và các biện pháp bảo đảm khác theo quy định pháp luật.</w:t>
            </w:r>
          </w:p>
        </w:tc>
      </w:tr>
      <w:tr w14:paraId="2B46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1375858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6F5EE1A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shd w:val="clear" w:color="auto" w:fill="auto"/>
            <w:vAlign w:val="top"/>
          </w:tcPr>
          <w:p w14:paraId="57D596F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PGS.TS. Chu Tiến Quang</w:t>
            </w:r>
          </w:p>
        </w:tc>
        <w:tc>
          <w:tcPr>
            <w:tcW w:w="5475" w:type="dxa"/>
            <w:shd w:val="clear" w:color="auto" w:fill="auto"/>
            <w:vAlign w:val="top"/>
          </w:tcPr>
          <w:p w14:paraId="4E6FBF9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Nghiên cứu cơ chế bảo hiểm giá nông sản, quỹ chia sẻ rủi ro, quỹ tiết kiệm chung trong chuỗi.</w:t>
            </w:r>
          </w:p>
        </w:tc>
        <w:tc>
          <w:tcPr>
            <w:tcW w:w="4567" w:type="dxa"/>
          </w:tcPr>
          <w:p w14:paraId="58049B2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một phần. Bổ sung nội dung hỗ trợ quản trị rủi ro, bảo hiểm nông nghiệp và khuyến khích hình thành cơ chế chia sẻ rủi ro.</w:t>
            </w:r>
          </w:p>
        </w:tc>
      </w:tr>
      <w:tr w14:paraId="4C028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6688737E">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1455CB5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r>
              <w:rPr>
                <w:rFonts w:hint="default" w:ascii="Times New Roman" w:hAnsi="Times New Roman" w:eastAsia="Times New Roman" w:cs="Times New Roman"/>
                <w:sz w:val="26"/>
                <w:szCs w:val="26"/>
                <w:lang w:val="vi-VN"/>
              </w:rPr>
              <w:t>4. Nhà nước nghiên cứu, xây dựng cơ chế hỗ trợ bảo đảm thực hiện liên kết đối với một số ngành hàng chủ lực hoặc vùng nguyên liệu quy mô lớn theo quy định của Chính phủ.</w:t>
            </w:r>
          </w:p>
        </w:tc>
        <w:tc>
          <w:tcPr>
            <w:tcW w:w="1898" w:type="dxa"/>
          </w:tcPr>
          <w:p w14:paraId="3A67BB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Vụ Pháp </w:t>
            </w:r>
            <w:r>
              <w:rPr>
                <w:rFonts w:hint="default" w:ascii="Times New Roman" w:hAnsi="Times New Roman" w:cs="Times New Roman"/>
                <w:sz w:val="26"/>
                <w:szCs w:val="26"/>
                <w:lang w:val="vi-VN"/>
              </w:rPr>
              <w:t xml:space="preserve">chế; Cục Lâm nghiệp và Kiểm lâm; Cục </w:t>
            </w:r>
            <w:r>
              <w:rPr>
                <w:rFonts w:hint="default" w:ascii="Times New Roman" w:hAnsi="Times New Roman" w:cs="Times New Roman"/>
                <w:sz w:val="26"/>
                <w:szCs w:val="26"/>
                <w:lang w:val="en-US"/>
              </w:rPr>
              <w:t>C</w:t>
            </w:r>
            <w:r>
              <w:rPr>
                <w:rFonts w:hint="default" w:ascii="Times New Roman" w:hAnsi="Times New Roman" w:cs="Times New Roman"/>
                <w:sz w:val="26"/>
                <w:szCs w:val="26"/>
                <w:lang w:val="vi-VN"/>
              </w:rPr>
              <w:t>huyển đổi số</w:t>
            </w:r>
          </w:p>
        </w:tc>
        <w:tc>
          <w:tcPr>
            <w:tcW w:w="5475" w:type="dxa"/>
          </w:tcPr>
          <w:p w14:paraId="38A23B3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Đề nghị sửa đổi khoản 4 Điều 7 theo hướng quy định cụ thể cơ quan chủ trì nghiên cứu, xây dựng cơ chế hỗ trợ bảo đảm thực hiện liên kết đối với một số ngành hàng chủ lực hoặc vùng nguyên liệu quy mô lớn, thay vì quy định chung chung là “Nhà nước nghiên cứu, xây dựng cơ chế hỗ trợ…”, vì cách quy định này chưa xác định rõ cơ quan và cấp có trách nhiệm tổ chức thực hiện. Cụ thể, đề nghị quy định: “Giao </w:t>
            </w:r>
            <w:r>
              <w:rPr>
                <w:rStyle w:val="47"/>
                <w:rFonts w:hint="default" w:ascii="Times New Roman" w:hAnsi="Times New Roman" w:cs="Times New Roman"/>
                <w:sz w:val="26"/>
                <w:szCs w:val="26"/>
              </w:rPr>
              <w:t>Bộ Nông nghiệp và Môi trường</w:t>
            </w:r>
            <w:r>
              <w:rPr>
                <w:rFonts w:hint="default" w:ascii="Times New Roman" w:hAnsi="Times New Roman" w:cs="Times New Roman"/>
                <w:sz w:val="26"/>
                <w:szCs w:val="26"/>
              </w:rPr>
              <w:t xml:space="preserve"> chủ trì, phối hợp với các bộ, ngành, đơn vị liên quan và địa phương nghiên cứu, đề xuất xây dựng cơ chế hỗ trợ bảo đảm thực hiện liên kết đối với một số ngành hàng chủ lực hoặc vùng nguyên liệu quy mô lớn theo quy định của Chính phủ”. Đồng thời, do Nghị định này cũng là văn bản quy định của Chính phủ, đề nghị quy định trực tiếp, rõ ràng hơn về cơ chế hỗ trợ để bảo đảm tính khả thi trong triển khai thực hiện.</w:t>
            </w:r>
          </w:p>
        </w:tc>
        <w:tc>
          <w:tcPr>
            <w:tcW w:w="4567" w:type="dxa"/>
          </w:tcPr>
          <w:p w14:paraId="42C6499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và bổ sung, chỉnh sửa quy định tại Chương về tổ chức thực hiện của dự thảo Nghị định</w:t>
            </w:r>
          </w:p>
        </w:tc>
      </w:tr>
      <w:tr w14:paraId="04A73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0943B6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21B6FAF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rPr>
            </w:pPr>
          </w:p>
        </w:tc>
        <w:tc>
          <w:tcPr>
            <w:tcW w:w="1898" w:type="dxa"/>
          </w:tcPr>
          <w:p w14:paraId="03C7945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Lào Cai</w:t>
            </w:r>
          </w:p>
        </w:tc>
        <w:tc>
          <w:tcPr>
            <w:tcW w:w="5475" w:type="dxa"/>
          </w:tcPr>
          <w:p w14:paraId="1A921AE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Đối với các HTX tại các tỉnh miền núi, vùng đặc biệt khó khăn, quy mô rất nhỏ, thường thiếu vốn, việc áp dụng ký quỹ rất khó khăn. Đề nghị bổ sung chính sách hỗ trợ từ ngân sách nhà nước để làm “</w:t>
            </w:r>
            <w:r>
              <w:rPr>
                <w:rFonts w:hint="default" w:ascii="Times New Roman" w:hAnsi="Times New Roman" w:cs="Times New Roman"/>
                <w:i/>
                <w:iCs/>
                <w:sz w:val="26"/>
                <w:szCs w:val="26"/>
                <w:lang w:val="vi-VN"/>
              </w:rPr>
              <w:t>nguồn vốn đối ứng</w:t>
            </w:r>
            <w:r>
              <w:rPr>
                <w:rFonts w:hint="default" w:ascii="Times New Roman" w:hAnsi="Times New Roman" w:cs="Times New Roman"/>
                <w:sz w:val="26"/>
                <w:szCs w:val="26"/>
                <w:lang w:val="vi-VN"/>
              </w:rPr>
              <w:t>” hoặc “</w:t>
            </w:r>
            <w:r>
              <w:rPr>
                <w:rFonts w:hint="default" w:ascii="Times New Roman" w:hAnsi="Times New Roman" w:cs="Times New Roman"/>
                <w:i/>
                <w:iCs/>
                <w:sz w:val="26"/>
                <w:szCs w:val="26"/>
                <w:lang w:val="vi-VN"/>
              </w:rPr>
              <w:t>bảo lãnh tín dụng</w:t>
            </w:r>
            <w:r>
              <w:rPr>
                <w:rFonts w:hint="default" w:ascii="Times New Roman" w:hAnsi="Times New Roman" w:cs="Times New Roman"/>
                <w:sz w:val="26"/>
                <w:szCs w:val="26"/>
                <w:lang w:val="vi-VN"/>
              </w:rPr>
              <w:t>” cho các HTX khi tham gia các biện pháp bảo đảm thực hiện hợp đồng.</w:t>
            </w:r>
          </w:p>
        </w:tc>
        <w:tc>
          <w:tcPr>
            <w:tcW w:w="4567" w:type="dxa"/>
          </w:tcPr>
          <w:p w14:paraId="721E04B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Lí do: Nội dung này liên quan đến cơ chế tài chính, tín dụng, bảo lãnh của Nhà nước, vượt phạm vi điều chỉnh của Nghị định.</w:t>
            </w:r>
          </w:p>
          <w:p w14:paraId="5BB9EEC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Dự thảo Nghị định hiện đã thiết kế theo hướng khuyến khích các cơ chế bảo đảm linh hoạt, không bắt buộc ký quỹ, đồng thời hỗ trợ tiếp cận tín dụng, bảo hiểm nông nghiệp và cơ chế quản trị rủi ro phù hợp với khả năng của hợp tác xã, hộ nông dân.</w:t>
            </w:r>
          </w:p>
        </w:tc>
      </w:tr>
      <w:tr w14:paraId="7944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C6D045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D4C7AE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3A1324E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Tư pháp</w:t>
            </w:r>
          </w:p>
        </w:tc>
        <w:tc>
          <w:tcPr>
            <w:tcW w:w="5475" w:type="dxa"/>
          </w:tcPr>
          <w:p w14:paraId="0B7C05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cơ quan chủ trì soạn thảo nghiên cứu, bổ sung quy định cụ thể ngay trong dự thảo Nghị định hoặc viện dẫn rõ đến quy định pháp luật liên quan (nếu có) để bảo đảm tính khả thi và thống nhất của hệ thống pháp luật.</w:t>
            </w:r>
          </w:p>
        </w:tc>
        <w:tc>
          <w:tcPr>
            <w:tcW w:w="4567" w:type="dxa"/>
          </w:tcPr>
          <w:p w14:paraId="2FF230B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bổ sung tại nội dung Khoản 4, Điều 7.</w:t>
            </w:r>
          </w:p>
        </w:tc>
      </w:tr>
      <w:tr w14:paraId="175B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63EC31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20CEB43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34E4E65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Viện Chiến lược, Chính sách nông nghiệp và môi trường</w:t>
            </w:r>
          </w:p>
        </w:tc>
        <w:tc>
          <w:tcPr>
            <w:tcW w:w="5475" w:type="dxa"/>
          </w:tcPr>
          <w:p w14:paraId="4C66810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B</w:t>
            </w:r>
            <w:r>
              <w:rPr>
                <w:rFonts w:hint="default" w:ascii="Times New Roman" w:hAnsi="Times New Roman" w:cs="Times New Roman"/>
                <w:sz w:val="26"/>
                <w:szCs w:val="26"/>
              </w:rPr>
              <w:t>ổ sung cơ chế hòa giải, trọng tài hoặc tổ tư vấn tranh chấp liên kết nông nghiệp ở cấp tỉnh/ngành hàng, có sự tham gia của cơ quan chuyên môn, hội hiệp hội ngành hàng, liên minh hợp tác xã và đại diện nông dân. Đây là công cụ thực tiễn giúp xử lý tranh chấp nhanh, giảm chi phí kiện tụng và duy trì liên kết sau khi phát sinh bất đồng.</w:t>
            </w:r>
          </w:p>
        </w:tc>
        <w:tc>
          <w:tcPr>
            <w:tcW w:w="4567" w:type="dxa"/>
          </w:tcPr>
          <w:p w14:paraId="1371FF4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w:t>
            </w:r>
            <w:r>
              <w:rPr>
                <w:rFonts w:hint="default" w:ascii="Times New Roman" w:hAnsi="Times New Roman" w:cs="Times New Roman"/>
                <w:sz w:val="26"/>
                <w:szCs w:val="26"/>
                <w:lang w:val="en-US"/>
              </w:rPr>
              <w:t xml:space="preserve"> tiếp thu đề xuất</w:t>
            </w:r>
            <w:r>
              <w:rPr>
                <w:rFonts w:hint="default" w:ascii="Times New Roman" w:hAnsi="Times New Roman" w:cs="Times New Roman"/>
                <w:sz w:val="26"/>
                <w:szCs w:val="26"/>
                <w:lang w:val="vi-VN"/>
              </w:rPr>
              <w:t xml:space="preserve"> quy định thành lập tổ tư vấn tranh chấp ở cấp tỉnh</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ngành hàng trong Nghị định, do liên quan tổ chức bộ máy, chức năng nhiệm vụ.</w:t>
            </w:r>
          </w:p>
          <w:p w14:paraId="12CA9B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Tuy nhiên, </w:t>
            </w:r>
            <w:r>
              <w:rPr>
                <w:rFonts w:hint="default" w:ascii="Times New Roman" w:hAnsi="Times New Roman" w:cs="Times New Roman"/>
                <w:sz w:val="26"/>
                <w:szCs w:val="26"/>
                <w:lang w:val="vi-VN"/>
              </w:rPr>
              <w:t xml:space="preserve">tiếp thu theo hướng khuyến khích hòa giải, thương lượng, trọng tài với sự tham gia của cơ quan chuyên môn, hiệp hội ngành hàng, Liên minh </w:t>
            </w:r>
            <w:r>
              <w:rPr>
                <w:rFonts w:hint="default" w:ascii="Times New Roman" w:hAnsi="Times New Roman" w:cs="Times New Roman"/>
                <w:sz w:val="26"/>
                <w:szCs w:val="26"/>
                <w:lang w:val="en-US"/>
              </w:rPr>
              <w:t>HTX</w:t>
            </w:r>
            <w:r>
              <w:rPr>
                <w:rFonts w:hint="default" w:ascii="Times New Roman" w:hAnsi="Times New Roman" w:cs="Times New Roman"/>
                <w:sz w:val="26"/>
                <w:szCs w:val="26"/>
                <w:lang w:val="vi-VN"/>
              </w:rPr>
              <w:t xml:space="preserve"> và tổ chức đại diện người sản xuất khi các bên có nhu cầu; đồng thời thực hiện theo quy định của pháp luật về hòa giải, trọng tài thương mại và tố tụng dân sự.</w:t>
            </w:r>
          </w:p>
          <w:p w14:paraId="64DE96A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6FE4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C94B409">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1FCBB96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Điều 8. Kế hoạch liên kết</w:t>
            </w:r>
          </w:p>
        </w:tc>
        <w:tc>
          <w:tcPr>
            <w:tcW w:w="1898" w:type="dxa"/>
          </w:tcPr>
          <w:p w14:paraId="659563A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2F1E2F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3416F5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4F13E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C209E1D">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1320F13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799B70D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Bộ Dân tộc và Tôn giáo</w:t>
            </w:r>
          </w:p>
        </w:tc>
        <w:tc>
          <w:tcPr>
            <w:tcW w:w="5475" w:type="dxa"/>
            <w:shd w:val="clear" w:color="auto" w:fill="auto"/>
            <w:vAlign w:val="top"/>
          </w:tcPr>
          <w:p w14:paraId="3DF62CD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 xml:space="preserve">Đề nghị chuyển quy định tại khoản 1 Điều 8 về Điều 3 để bảo đảm tính thống nhất, đồng bộ của văn </w:t>
            </w:r>
            <w:r>
              <w:rPr>
                <w:rFonts w:hint="default" w:ascii="Times New Roman" w:hAnsi="Times New Roman" w:cs="Times New Roman"/>
                <w:sz w:val="26"/>
                <w:szCs w:val="26"/>
                <w:lang w:val="vi-VN"/>
              </w:rPr>
              <w:t>bản.</w:t>
            </w:r>
          </w:p>
        </w:tc>
        <w:tc>
          <w:tcPr>
            <w:tcW w:w="4567" w:type="dxa"/>
          </w:tcPr>
          <w:p w14:paraId="184F4A1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Điều 3 quy định về giải thích từ ngữ, chỉ quy định các khái niệm có tính định nghĩa, giải thích nội hàm thuật ngữ. Trong khi, Khoản 1 Điều 8 không chỉ giải thích “Kế hoạch liên kết” mà còn quy định vai trò, chủ thể xây dựng, cơ chế phối hợp và giá trị pháp lý của Kế hoạch liên kết như là công cụ tổ chức thực hiện liên kết và căn cứ xem xét hỗ trợ của Nhà nước. Đây là nội dung mang tính quy phạm về tổ chức thực hiện, phù hợp bố trí tại Chương II về tổ chức liên kết chuỗi giá trị nông nghiệp bền vững.</w:t>
            </w:r>
          </w:p>
        </w:tc>
      </w:tr>
      <w:tr w14:paraId="2BB7C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903C2B6">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1FB920A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tcPr>
          <w:p w14:paraId="5DA9A2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Vụ Pháp chế</w:t>
            </w:r>
          </w:p>
        </w:tc>
        <w:tc>
          <w:tcPr>
            <w:tcW w:w="5475" w:type="dxa"/>
          </w:tcPr>
          <w:p w14:paraId="0CD9949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Khoản 1 và 2 Điều 8 và khoản 1 Điều 10 đều đang quy định về mục đích của Kế hoạch liên kết để đề xuất hưởng các chính sách hỗ trợ của Nhà nước, vì  vậy để nghị sắp xếp lại, tránh trùng lắp.</w:t>
            </w:r>
          </w:p>
        </w:tc>
        <w:tc>
          <w:tcPr>
            <w:tcW w:w="4567" w:type="dxa"/>
          </w:tcPr>
          <w:p w14:paraId="31AF61E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03</w:t>
            </w:r>
            <w:r>
              <w:rPr>
                <w:rFonts w:hint="default" w:ascii="Times New Roman" w:hAnsi="Times New Roman" w:cs="Times New Roman"/>
                <w:sz w:val="26"/>
                <w:szCs w:val="26"/>
                <w:lang w:val="vi-VN"/>
              </w:rPr>
              <w:t xml:space="preserve"> quy định ở </w:t>
            </w:r>
            <w:r>
              <w:rPr>
                <w:rFonts w:hint="default" w:ascii="Times New Roman" w:hAnsi="Times New Roman" w:cs="Times New Roman"/>
                <w:sz w:val="26"/>
                <w:szCs w:val="26"/>
                <w:lang w:val="en-US"/>
              </w:rPr>
              <w:t>03</w:t>
            </w:r>
            <w:r>
              <w:rPr>
                <w:rFonts w:hint="default" w:ascii="Times New Roman" w:hAnsi="Times New Roman" w:cs="Times New Roman"/>
                <w:sz w:val="26"/>
                <w:szCs w:val="26"/>
                <w:lang w:val="vi-VN"/>
              </w:rPr>
              <w:t xml:space="preserve"> tầng nội dung khác nhau: (i) </w:t>
            </w:r>
            <w:r>
              <w:rPr>
                <w:rFonts w:hint="default" w:ascii="Times New Roman" w:hAnsi="Times New Roman" w:cs="Times New Roman"/>
                <w:sz w:val="26"/>
                <w:szCs w:val="26"/>
                <w:lang w:val="en-US"/>
              </w:rPr>
              <w:t xml:space="preserve">Khoản 1, Điều 8 về </w:t>
            </w:r>
            <w:r>
              <w:rPr>
                <w:rFonts w:hint="default" w:ascii="Times New Roman" w:hAnsi="Times New Roman" w:cs="Times New Roman"/>
                <w:sz w:val="26"/>
                <w:szCs w:val="26"/>
                <w:lang w:val="vi-VN"/>
              </w:rPr>
              <w:t>bản chất công cụ</w:t>
            </w:r>
            <w:r>
              <w:rPr>
                <w:rFonts w:hint="default" w:ascii="Times New Roman" w:hAnsi="Times New Roman" w:cs="Times New Roman"/>
                <w:sz w:val="26"/>
                <w:szCs w:val="26"/>
                <w:lang w:val="en-US"/>
              </w:rPr>
              <w:t xml:space="preserve"> liên kết</w:t>
            </w:r>
            <w:r>
              <w:rPr>
                <w:rFonts w:hint="default" w:ascii="Times New Roman" w:hAnsi="Times New Roman" w:cs="Times New Roman"/>
                <w:sz w:val="26"/>
                <w:szCs w:val="26"/>
                <w:lang w:val="vi-VN"/>
              </w:rPr>
              <w:t xml:space="preserve">; (ii) </w:t>
            </w:r>
            <w:r>
              <w:rPr>
                <w:rFonts w:hint="default" w:ascii="Times New Roman" w:hAnsi="Times New Roman" w:cs="Times New Roman"/>
                <w:sz w:val="26"/>
                <w:szCs w:val="26"/>
                <w:lang w:val="en-US"/>
              </w:rPr>
              <w:t xml:space="preserve">Khoản 2, Điều 8 về </w:t>
            </w:r>
            <w:r>
              <w:rPr>
                <w:rFonts w:hint="default" w:ascii="Times New Roman" w:hAnsi="Times New Roman" w:cs="Times New Roman"/>
                <w:sz w:val="26"/>
                <w:szCs w:val="26"/>
                <w:lang w:val="vi-VN"/>
              </w:rPr>
              <w:t>trường hợp áp dụng</w:t>
            </w:r>
            <w:r>
              <w:rPr>
                <w:rFonts w:hint="default" w:ascii="Times New Roman" w:hAnsi="Times New Roman" w:cs="Times New Roman"/>
                <w:sz w:val="26"/>
                <w:szCs w:val="26"/>
                <w:lang w:val="en-US"/>
              </w:rPr>
              <w:t xml:space="preserve"> liên kết</w:t>
            </w:r>
            <w:r>
              <w:rPr>
                <w:rFonts w:hint="default" w:ascii="Times New Roman" w:hAnsi="Times New Roman" w:cs="Times New Roman"/>
                <w:sz w:val="26"/>
                <w:szCs w:val="26"/>
                <w:lang w:val="vi-VN"/>
              </w:rPr>
              <w:t xml:space="preserve">; (iii) </w:t>
            </w:r>
            <w:r>
              <w:rPr>
                <w:rFonts w:hint="default" w:ascii="Times New Roman" w:hAnsi="Times New Roman" w:cs="Times New Roman"/>
                <w:sz w:val="26"/>
                <w:szCs w:val="26"/>
                <w:lang w:val="en-US"/>
              </w:rPr>
              <w:t xml:space="preserve">Khoản 1, Điều 10 về </w:t>
            </w:r>
            <w:r>
              <w:rPr>
                <w:rFonts w:hint="default" w:ascii="Times New Roman" w:hAnsi="Times New Roman" w:cs="Times New Roman"/>
                <w:sz w:val="26"/>
                <w:szCs w:val="26"/>
                <w:lang w:val="vi-VN"/>
              </w:rPr>
              <w:t>điều kiện hỗ trợ, nên không phải là trùng lặp hoàn toàn.</w:t>
            </w:r>
          </w:p>
          <w:p w14:paraId="30FF66C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Tuy nhiên, Ban soạn thảo đã tiếp thu theo hướng điều chỉnh kế hoạch liên kết sang Dự án lien kết làm công cụ hỗ trợ liên kết từ ngân sách nhà nước</w:t>
            </w:r>
          </w:p>
        </w:tc>
      </w:tr>
      <w:tr w14:paraId="015C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9DB544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4483CE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val="vi-VN" w:eastAsia="vi-VN"/>
              </w:rPr>
              <w:t>Kế hoạch liên kết là công cụ tổ chức thực hiện liên kết chuỗi giá trị nông nghiệp do chủ trì liên kết theo quy định tại Điều 3 Nghị định này chủ trì, phối hợp với các bên tham gia liên kết xây dựng và tổ chức thực hiện, làm căn cứ để triển khai liên kết và xem xét hỗ trợ theo quy định của Nghị định này và pháp luật có liên quan</w:t>
            </w:r>
          </w:p>
        </w:tc>
        <w:tc>
          <w:tcPr>
            <w:tcW w:w="1898" w:type="dxa"/>
          </w:tcPr>
          <w:p w14:paraId="325424A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Môi trường tỉnh </w:t>
            </w:r>
            <w:r>
              <w:rPr>
                <w:rFonts w:hint="default" w:ascii="Times New Roman" w:hAnsi="Times New Roman" w:cs="Times New Roman"/>
                <w:sz w:val="26"/>
                <w:szCs w:val="26"/>
              </w:rPr>
              <w:t>Lai Châu</w:t>
            </w:r>
          </w:p>
        </w:tc>
        <w:tc>
          <w:tcPr>
            <w:tcW w:w="5475" w:type="dxa"/>
          </w:tcPr>
          <w:p w14:paraId="610E2AB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w:t>
            </w:r>
            <w:r>
              <w:rPr>
                <w:rFonts w:hint="default" w:ascii="Times New Roman" w:hAnsi="Times New Roman" w:cs="Times New Roman"/>
                <w:sz w:val="26"/>
                <w:szCs w:val="26"/>
                <w:lang w:val="vi-VN"/>
              </w:rPr>
              <w:t xml:space="preserve">ề nghị xem xét, chỉnh sửa nội dung khoản 1 Điều 8 cho đảm bảo phù hợp việc viện dẫn đến Điều 3 của Nghị định như dự thảo chưa đảm bảo chính xác, vì tại Điều 3 của dự thảo Nghị định quy định về </w:t>
            </w:r>
            <w:r>
              <w:rPr>
                <w:rFonts w:hint="default" w:ascii="Times New Roman" w:hAnsi="Times New Roman" w:cs="Times New Roman"/>
                <w:b/>
                <w:bCs/>
                <w:sz w:val="26"/>
                <w:szCs w:val="26"/>
                <w:lang w:val="vi-VN"/>
              </w:rPr>
              <w:t xml:space="preserve">“Giải thích từ ngữ”, </w:t>
            </w:r>
            <w:r>
              <w:rPr>
                <w:rFonts w:hint="default" w:ascii="Times New Roman" w:hAnsi="Times New Roman" w:cs="Times New Roman"/>
                <w:sz w:val="26"/>
                <w:szCs w:val="26"/>
                <w:lang w:val="vi-VN"/>
              </w:rPr>
              <w:t xml:space="preserve">không có quy định về “chủ trì liên kết”. </w:t>
            </w:r>
          </w:p>
        </w:tc>
        <w:tc>
          <w:tcPr>
            <w:tcW w:w="4567" w:type="dxa"/>
          </w:tcPr>
          <w:p w14:paraId="7789ED2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Chủ trì liên kết chuỗi giá trị nông nghiệp bền vững đã được quy định tại Khoản 4, Điều 3</w:t>
            </w:r>
          </w:p>
        </w:tc>
      </w:tr>
      <w:tr w14:paraId="2DE01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5612160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34B103F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2. Kế hoạch liên kết được lập trong trường hợp chủ trì liên kết và các bên tham gia liên kết đề xuất hưởng các chính sách hỗ trợ của Nhà nước theo quy định của Nghị định này và các chính sách hỗ trợ khác theo quy định của pháp luật.</w:t>
            </w:r>
          </w:p>
          <w:p w14:paraId="56F1EBC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shd w:val="clear" w:color="auto" w:fill="auto"/>
            <w:vAlign w:val="top"/>
          </w:tcPr>
          <w:p w14:paraId="4B5BD1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 xml:space="preserve">Vụ Kế hoạch </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Tài chính</w:t>
            </w:r>
          </w:p>
        </w:tc>
        <w:tc>
          <w:tcPr>
            <w:tcW w:w="5475" w:type="dxa"/>
            <w:shd w:val="clear" w:color="auto" w:fill="auto"/>
            <w:vAlign w:val="top"/>
          </w:tcPr>
          <w:p w14:paraId="2AF510A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Về cơ chế hỗ trợ và tổ chức thực hiện: Dự thảo Nghị định chuyển từ cơ chế “dự án liên kết” theo quy định của Nghị định số 98/2018/NĐ-CP sang cơ chế  “kế hoạch liên kết”. Nghiên cứu làm rõ hơn địa vị pháp lý của “kế hoạch liên kết”, bao gồm thẩm quyền phê duyệt, trình tự thẩm định, cũng như mối quan hệ với các quy định của pháp luật về đầu tư công và ngân sách nhà nước, nhằm bảo đảm thuận lợi trong quá trình tổ chức thực hiện tại địa phương.</w:t>
            </w:r>
          </w:p>
        </w:tc>
        <w:tc>
          <w:tcPr>
            <w:tcW w:w="4567" w:type="dxa"/>
            <w:vMerge w:val="restart"/>
          </w:tcPr>
          <w:p w14:paraId="4C6594E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ý kiến góp ý về việc nghiên cứu thống nhất hình thức tổ chức thực hiện hỗ trợ phát triển liên kết chuỗi giá trị theo “Dự án liên kết” thay cho “Kế hoạch liên kết” nhằm đảm bảo tính thống nhất của hệ thống pháp luật (như Nghị định số 358/2025/NĐ-CP và các chính sách hỗ trợ khác như Nghị định 113/2025/NĐ-CP; Luật Đầu tư công) và thuận lợi trong tổ chức thực hiện tại địa phương.</w:t>
            </w:r>
          </w:p>
          <w:p w14:paraId="30553B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dự thảo theo hướng: ngân sách nhà nước hỗ trợ phát triển liên kết chuỗi giá trị nông nghiệp thông qua Dự án liên kết. </w:t>
            </w:r>
          </w:p>
          <w:p w14:paraId="5B0EEFB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Tuy nhiên, Nghị định này điều chỉnh chung đối với phát triển liên kết chuỗi giá trị nông nghiệp trên phạm vi cả nước, áp dụng nhiều nguồn lực khác nhau; trường hợp sử dụng nguồn vốn Chương trình MTQG thì thực hiện theo cơ chế quản lý riêng của chương trình MTQG và quy định pháp luật có liên quan.</w:t>
            </w:r>
          </w:p>
          <w:p w14:paraId="39BA0AB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Ban soạn thảo cũng rà soát, hoàn thiện quy định về thẩm quyền phê duyệt, trình tự thẩm định, nguồn kinh phí thực hiện và mối quan hệ với pháp luật về đầu tư công, ngân sách nhà nước nhằm bảo đảm rõ ràng, thống nhất và thuận lợi trong tổ chức thực hiện.</w:t>
            </w:r>
          </w:p>
        </w:tc>
      </w:tr>
      <w:tr w14:paraId="797A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A06C36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A71F97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417D5CF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Tuyên Quang</w:t>
            </w:r>
          </w:p>
        </w:tc>
        <w:tc>
          <w:tcPr>
            <w:tcW w:w="5475" w:type="dxa"/>
          </w:tcPr>
          <w:p w14:paraId="01647C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Đề nghị xem xét thống nhất hình thức tổ chức thực hiện liên kết chuỗi giá trị là: “Dự án liên kết” để đảm bảo đồng nhất giữa các văn </w:t>
            </w:r>
            <w:r>
              <w:rPr>
                <w:rFonts w:hint="default" w:ascii="Times New Roman" w:hAnsi="Times New Roman" w:cs="Times New Roman"/>
                <w:sz w:val="26"/>
                <w:szCs w:val="26"/>
                <w:lang w:val="vi-VN"/>
              </w:rPr>
              <w:t>bản.</w:t>
            </w:r>
            <w:r>
              <w:rPr>
                <w:rFonts w:hint="default" w:ascii="Times New Roman" w:hAnsi="Times New Roman" w:cs="Times New Roman"/>
                <w:sz w:val="26"/>
                <w:szCs w:val="26"/>
                <w:lang w:val="en-US"/>
              </w:rPr>
              <w:t xml:space="preserve"> Lí do: </w:t>
            </w:r>
            <w:r>
              <w:rPr>
                <w:rFonts w:hint="default" w:ascii="Times New Roman" w:hAnsi="Times New Roman" w:cs="Times New Roman"/>
                <w:sz w:val="26"/>
                <w:szCs w:val="26"/>
              </w:rPr>
              <w:t xml:space="preserve">Nghị định số 358/2025/NĐ-CP của Chính phủ Quy định cơ chế quản lý, tổ chức thực hiện các chương trình mục tiêu quốc gia, trong đó có quy định cơ chế hỗ trợ phát triển sản xuất liên kết theo chuỗi giá trị và quy định cơ chế thực hiện hoạt động hỗ trợ phát triển sản xuất theo hình thức dự án. Mặt khác, trong dự thảo Thông tư của Bộ Nông nghiệp và Môi trường Hướng dẫn một số nội dung thực hiện Chương trình mục tiêu quốc gia xây dựng nông thôn mới, giảm nghèo bền vững và phát triển kinh tế xã hội vùng đồng bào dân tộc thiểu số và miền núi giai đoạn 2026-2030 thuộc phạm vi quản lý Nhà nước của Bộ Nông nghiệp và Môi trường; trong đó có nội dung về liên kết theo chuỗi giá trị dẫn chiếu thực hiện theo Nghị định 98/2018/NĐ-CP và điều khoản thi hành có quy định “Các văn bản được trích dẫn cụ thể trong Thông tư này sẽ được áp dụng theo văn bản mới ban hành khi văn bản điều chỉnh mới có hiệu lực thi hành.”. </w:t>
            </w:r>
          </w:p>
        </w:tc>
        <w:tc>
          <w:tcPr>
            <w:tcW w:w="4567" w:type="dxa"/>
            <w:vMerge w:val="continue"/>
          </w:tcPr>
          <w:p w14:paraId="06FB80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5597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25B6080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7D07AF7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shd w:val="clear" w:color="auto" w:fill="auto"/>
            <w:vAlign w:val="top"/>
          </w:tcPr>
          <w:p w14:paraId="5FCB56F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Sở Nông nghiệp và Môi trường tỉnh Tuyên Quang</w:t>
            </w:r>
          </w:p>
        </w:tc>
        <w:tc>
          <w:tcPr>
            <w:tcW w:w="5475" w:type="dxa"/>
          </w:tcPr>
          <w:p w14:paraId="0A2DCEF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Dự thảo Nghị định chưa nêu rõ nguồn kinh phí để triển khai thực hiện Nghị đình này, đề nghị quy định rõ nguồn kinh phí thực hiện (Ngân sách Trung ương, ngân sách địa phương). Trường hợp địa phương sử dụng nguồn vốn chương trình mục tiêu quốc gia hỗ trợ hoạt động phát triển sản xuất liên kết theo chuỗi giá trị thì sẽ bất cập trong xác định hình thức triển khai hỗ trợ phát triển sản xuất theo chuỗi giá trị là “dự án” hay “kế hoạch”.</w:t>
            </w:r>
          </w:p>
        </w:tc>
        <w:tc>
          <w:tcPr>
            <w:tcW w:w="4567" w:type="dxa"/>
          </w:tcPr>
          <w:p w14:paraId="6D5E772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Theo dự thảo, nguồn hỗ trợ đã được quy định theo từng nhóm chính sách, bao gồm ngân sách trung ương, ngân sách địa phương theo phân cấp hiện hành; vốn đầu tư công, kinh phí sự nghiệp; nguồn lồng ghép từ các chương trình mục tiêu quốc gia và các chương trình, dự án hợp pháp khác.</w:t>
            </w:r>
          </w:p>
        </w:tc>
      </w:tr>
      <w:tr w14:paraId="2B8D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15FCA57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064E03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r>
              <w:rPr>
                <w:rFonts w:hint="default" w:ascii="Times New Roman" w:hAnsi="Times New Roman" w:eastAsia="Times New Roman" w:cs="Times New Roman"/>
                <w:sz w:val="26"/>
                <w:szCs w:val="26"/>
                <w:lang w:eastAsia="vi-VN"/>
              </w:rPr>
              <w:t xml:space="preserve">3. Ngoài các nội dung do các bên tự thỏa thuận, Kế hoạch liên kết phải có các nội dung chủ yếu sau </w:t>
            </w:r>
            <w:r>
              <w:rPr>
                <w:rFonts w:hint="default" w:ascii="Times New Roman" w:hAnsi="Times New Roman" w:eastAsia="Times New Roman" w:cs="Times New Roman"/>
                <w:sz w:val="26"/>
                <w:szCs w:val="26"/>
                <w:lang w:val="vi-VN" w:eastAsia="vi-VN"/>
              </w:rPr>
              <w:t>đây:</w:t>
            </w:r>
          </w:p>
        </w:tc>
        <w:tc>
          <w:tcPr>
            <w:tcW w:w="1898" w:type="dxa"/>
          </w:tcPr>
          <w:p w14:paraId="79E570A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Khoa học và Công nghệ; Bộ Công Thương</w:t>
            </w:r>
          </w:p>
        </w:tc>
        <w:tc>
          <w:tcPr>
            <w:tcW w:w="5475" w:type="dxa"/>
          </w:tcPr>
          <w:p w14:paraId="722019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Khoản 3 Điều 8: bổ sung điểm i mới: “i) Phương án chuyển giao và ứng dụng công nghệ: công nghệ cần chuyển giao, nguồn cung cấp, kế hoạch triển khai, thời gian</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tối thiểu 3-5 năm (đối với các sản phẩm nông nghiệp theo mùa vụ 3-6 tháng), 5-10 năm đối với sản phẩm nông - lâm nghiệp có tuổi đời dài như cà phê, sầu riêng,... trong Kế hoạch liên kết, làm cơ sở để các đơn vị tham gia liên kết yên tâm trong sản xuất, kinh doanh. chi phí dự kiến và các chỉ số đo lường hiệu quả (KPI).”; </w:t>
            </w:r>
          </w:p>
        </w:tc>
        <w:tc>
          <w:tcPr>
            <w:tcW w:w="4567" w:type="dxa"/>
            <w:vMerge w:val="restart"/>
          </w:tcPr>
          <w:p w14:paraId="547870D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Tiếp thu. Đã điều chỉnh trong dự thảo Nghị định</w:t>
            </w:r>
          </w:p>
        </w:tc>
      </w:tr>
      <w:tr w14:paraId="4C0A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8F8F3C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1AC165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eastAsia="Times New Roman" w:cs="Times New Roman"/>
                <w:sz w:val="26"/>
                <w:szCs w:val="26"/>
                <w:lang w:eastAsia="vi-VN"/>
              </w:rPr>
              <w:t>c) Phương thức tổ chức sản xuất gắn với phát triển, quản lý vùng nguyên liệu (nếu có); tổ chức thu mua, sơ chế, chế biến, bảo quản và tiêu thụ sản phẩm</w:t>
            </w:r>
            <w:r>
              <w:rPr>
                <w:rFonts w:hint="default" w:ascii="Times New Roman" w:hAnsi="Times New Roman" w:eastAsia="Times New Roman" w:cs="Times New Roman"/>
                <w:sz w:val="26"/>
                <w:szCs w:val="26"/>
                <w:lang w:val="en-US" w:eastAsia="vi-VN"/>
              </w:rPr>
              <w:t>.</w:t>
            </w:r>
          </w:p>
        </w:tc>
        <w:tc>
          <w:tcPr>
            <w:tcW w:w="1898" w:type="dxa"/>
          </w:tcPr>
          <w:p w14:paraId="21E10E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Đồng Tháp</w:t>
            </w:r>
          </w:p>
        </w:tc>
        <w:tc>
          <w:tcPr>
            <w:tcW w:w="5475" w:type="dxa"/>
          </w:tcPr>
          <w:p w14:paraId="51E890C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Đ</w:t>
            </w:r>
            <w:r>
              <w:rPr>
                <w:rFonts w:hint="default" w:ascii="Times New Roman" w:hAnsi="Times New Roman" w:cs="Times New Roman"/>
                <w:sz w:val="26"/>
                <w:szCs w:val="26"/>
              </w:rPr>
              <w:t>ề nghị điều chỉnh thành "Phương thức tổ chức sản xuất gắn với phát triển, quản lý vùng nguyên liệu (nếu có); tổ chức thu mua; sơ chế, chế biến, bảo quản (nếu có) và tiêu thụ sản phẩm" để tạo điều kiện cho các chủ trì liên kết xây dựng kế hoạch liên kết phù hợp với tình hình sản xuất, tiêu thụ nông sản tươi mà không phải qua các khâu sơ chế, chế biến, bảo quản.</w:t>
            </w:r>
          </w:p>
        </w:tc>
        <w:tc>
          <w:tcPr>
            <w:tcW w:w="4567" w:type="dxa"/>
            <w:vMerge w:val="continue"/>
          </w:tcPr>
          <w:p w14:paraId="620745B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5938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F9FE75A">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57F81C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Điều 9. Phát triển vùng nguyên liệu</w:t>
            </w:r>
          </w:p>
        </w:tc>
        <w:tc>
          <w:tcPr>
            <w:tcW w:w="1898" w:type="dxa"/>
          </w:tcPr>
          <w:p w14:paraId="647B834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7168DF7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w:t>
            </w:r>
          </w:p>
        </w:tc>
        <w:tc>
          <w:tcPr>
            <w:tcW w:w="4567" w:type="dxa"/>
          </w:tcPr>
          <w:p w14:paraId="5F519E7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0DB0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B509FE5">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744D2F40">
            <w:pPr>
              <w:keepNext w:val="0"/>
              <w:keepLines w:val="0"/>
              <w:pageBreakBefore w:val="0"/>
              <w:numPr>
                <w:ilvl w:val="0"/>
                <w:numId w:val="2"/>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Yêu cầu vùng nguyên liệu nông nghiệp</w:t>
            </w:r>
          </w:p>
          <w:p w14:paraId="394F9E7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a) Vùng nguyên liệu nông nghiệp được tổ chức theo hướng sản xuất tập trung, có quy mô phù hợp với từng loại sản phẩm và điều kiện của địa phương; áp dụng thống nhất về giống, quy trình kỹ thuật sản xuất, tiêu chuẩn chất lượng và đáp ứng yêu cầu truy xuất nguồn gốc, đáp ứng yêu cầu của cơ sở chế biến, tiêu thụ sản phẩm nông nghiệp.</w:t>
            </w:r>
          </w:p>
          <w:p w14:paraId="3A874A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eastAsia="Times New Roman" w:cs="Times New Roman"/>
                <w:sz w:val="26"/>
                <w:szCs w:val="26"/>
                <w:lang w:eastAsia="vi-VN"/>
              </w:rPr>
              <w:t>b) Vùng nguyên liệu phải được hình thành trên cơ sở liên kết giữa các chủ thể trong chuỗi giá trị, có hợp đồng hoặc thỏa thuận bằng văn bản về sản xuất và tiêu thụ sản phẩm.</w:t>
            </w:r>
          </w:p>
        </w:tc>
        <w:tc>
          <w:tcPr>
            <w:tcW w:w="1898" w:type="dxa"/>
          </w:tcPr>
          <w:p w14:paraId="57232EC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Vụ Pháp chế</w:t>
            </w:r>
          </w:p>
        </w:tc>
        <w:tc>
          <w:tcPr>
            <w:tcW w:w="5475" w:type="dxa"/>
          </w:tcPr>
          <w:p w14:paraId="5564282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Về quy định phát triển vùng nguyên liệu nông nghiệp tại dự thảo là rất cần thiết và có ý nghĩa quan trọng trong việc liên kết sản xuất theo chuỗi giá trị. Theo đó, đề nghị có chính sách khuyến khích phát triển các vùng nguyên liệu nông nghiệp, những vùng nguyên liệu đáp ứng điều kiện sẽ được hưởng chính sách sẽ phù hợp và khuyến khích được tổ chức, cá nhân liên kết hình thành vùng nguyên liệu hơn. Vùng nguyên liệu là điều kiện để được hưởng chính sách do đó cũng cần có quy định để công nhận hoặc xác nhận công bố, nội dung này đề nghị nghiên cứu giao địa phương quy định trên tiêu chí chung tại dự thảo nghị định này. Đồng thời, đề nghị rà soát sự cần thiết quy định cụ thể các nội dung được hưởng chính sách hỗ trợ như phương án thu mua, phương án tổ chức sản xuất… những nội dung có cần mẫu hoá hoặc cần đảm bảo các tiêu chí gì không? </w:t>
            </w:r>
          </w:p>
        </w:tc>
        <w:tc>
          <w:tcPr>
            <w:tcW w:w="4567" w:type="dxa"/>
          </w:tcPr>
          <w:p w14:paraId="3E7F11B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Tiếp thu</w:t>
            </w:r>
            <w:r>
              <w:rPr>
                <w:rFonts w:hint="default" w:ascii="Times New Roman" w:hAnsi="Times New Roman" w:cs="Times New Roman"/>
                <w:sz w:val="26"/>
                <w:szCs w:val="26"/>
                <w:lang w:val="en-US"/>
              </w:rPr>
              <w:t>. Đã rà soát, bổ sung</w:t>
            </w:r>
            <w:r>
              <w:rPr>
                <w:rFonts w:hint="default" w:ascii="Times New Roman" w:hAnsi="Times New Roman" w:cs="Times New Roman"/>
                <w:sz w:val="26"/>
                <w:szCs w:val="26"/>
                <w:lang w:val="vi-VN"/>
              </w:rPr>
              <w:t xml:space="preserve"> cơ chế khuyến khích theo hướng ưu tiên hỗ trợ đối với các Dự án liên kết gắn với vùng nguyên liệu đáp ứng tiêu chí, đồng thời bổ sung quy định về tiêu chí chung vùng nguyên liệu nông nghiệp tại Nghị định làm căn cứ để Ủy ban nhân dân cấp tỉnh quy định cụ thể, tổ chức xác nhận hoặc công bố vùng nguyên liệu phù hợp với điều kiện thực tiễn địa phương</w:t>
            </w:r>
            <w:r>
              <w:rPr>
                <w:rFonts w:hint="default" w:ascii="Times New Roman" w:hAnsi="Times New Roman" w:cs="Times New Roman"/>
                <w:sz w:val="26"/>
                <w:szCs w:val="26"/>
                <w:lang w:val="en-US"/>
              </w:rPr>
              <w:t>.</w:t>
            </w:r>
          </w:p>
        </w:tc>
      </w:tr>
      <w:tr w14:paraId="4E8B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2C0C6B0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2E4E33F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2. Tiêu chí vùng nguyên liệu nông nghiệp</w:t>
            </w:r>
          </w:p>
          <w:p w14:paraId="65DCB35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Vùng nguyên liệu nông nghiệp được xác định đạt yêu cầu khi đáp ứng các nhóm tiêu chí cơ bản sau:</w:t>
            </w:r>
          </w:p>
          <w:p w14:paraId="0D44446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shd w:val="clear" w:color="auto" w:fill="auto"/>
            <w:vAlign w:val="top"/>
          </w:tcPr>
          <w:p w14:paraId="3E54202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 xml:space="preserve">Viện Chiến lược, Chính sách nông nghiệp và môi </w:t>
            </w:r>
            <w:r>
              <w:rPr>
                <w:rFonts w:hint="default" w:ascii="Times New Roman" w:hAnsi="Times New Roman" w:cs="Times New Roman"/>
                <w:sz w:val="26"/>
                <w:szCs w:val="26"/>
                <w:lang w:val="vi-VN"/>
              </w:rPr>
              <w:t>trường; Vụ Kế hoạch Tài chính</w:t>
            </w:r>
          </w:p>
        </w:tc>
        <w:tc>
          <w:tcPr>
            <w:tcW w:w="5475" w:type="dxa"/>
            <w:shd w:val="clear" w:color="auto" w:fill="auto"/>
            <w:vAlign w:val="top"/>
          </w:tcPr>
          <w:p w14:paraId="53EC2E5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 xml:space="preserve">Việc bổ sung Điều 9 về phát triển vùng nguyên liệu nông nghiệp là điểm mới quan trọng, vì liên kết chuỗi giá trị bền vững cần có nền tảng là vùng nguyên liệu tập trung, ổn định, có tiêu chuẩn chất lượng, truy xuất nguồn gốc và kết nối với chế biến, tiêu thụ. Tuy nhiên, cần bổ sung quy định giao Bộ Nông nghiệp và Môi trường ban hành </w:t>
            </w:r>
            <w:r>
              <w:rPr>
                <w:rFonts w:hint="default" w:ascii="Times New Roman" w:hAnsi="Times New Roman" w:cs="Times New Roman"/>
                <w:sz w:val="26"/>
                <w:szCs w:val="26"/>
                <w:lang w:val="vi-VN"/>
              </w:rPr>
              <w:t xml:space="preserve">tiêu chí </w:t>
            </w:r>
            <w:r>
              <w:rPr>
                <w:rFonts w:hint="default" w:ascii="Times New Roman" w:hAnsi="Times New Roman" w:cs="Times New Roman"/>
                <w:sz w:val="26"/>
                <w:szCs w:val="26"/>
              </w:rPr>
              <w:t>hướng dẫn kỹ thuật về bộ tiêu chí vùng nguyên liệu phù hợp từng sản phẩm/nhóm sản phẩm và điều kiện từng vùng</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mang tính khuyến khích để bảo đảm tính khả thi khi triển khai.</w:t>
            </w:r>
          </w:p>
        </w:tc>
        <w:tc>
          <w:tcPr>
            <w:tcW w:w="4567" w:type="dxa"/>
            <w:vMerge w:val="restart"/>
          </w:tcPr>
          <w:p w14:paraId="1D7F36F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Tuy nhiên không quy định cứng bộ tiêu chí vùng nguyên liệu theo từng sản phẩm ngay trong Nghị định, vì đây là nội dung có tính kỹ thuật chuyên ngành, cần thường xuyên cập nhật theo yêu cầu thị trường, tiêu chuẩn chất lượng, truy xuất nguồn gốc, yêu cầu xuất khẩu và điều kiện thực tiễn sản xuất trong từng thời kỳ.</w:t>
            </w:r>
          </w:p>
        </w:tc>
      </w:tr>
      <w:tr w14:paraId="5FC8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22439D8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2694D98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376A17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Môi trường</w:t>
            </w:r>
          </w:p>
        </w:tc>
        <w:tc>
          <w:tcPr>
            <w:tcW w:w="5475" w:type="dxa"/>
          </w:tcPr>
          <w:p w14:paraId="7C14E60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Điều 9: Xem xét cụ thể hóa tiêu chí về "bảo vệ môi trường" như: tỷ lệ thu hồi và tái sử dụng phụ phẩm nông nghiệp, mức độ giảm phát thải khí nhà kính trên một đơn vị sản phẩm.</w:t>
            </w:r>
          </w:p>
        </w:tc>
        <w:tc>
          <w:tcPr>
            <w:tcW w:w="4567" w:type="dxa"/>
            <w:vMerge w:val="continue"/>
          </w:tcPr>
          <w:p w14:paraId="48C8F0B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r>
      <w:tr w14:paraId="3AB5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9A960A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1ECF50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6A7FEC2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Trung tâm Khuyến nông Quóc gia</w:t>
            </w:r>
          </w:p>
        </w:tc>
        <w:tc>
          <w:tcPr>
            <w:tcW w:w="5475" w:type="dxa"/>
          </w:tcPr>
          <w:p w14:paraId="0486D0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Điều 9 khoản 2 nêu tiêu chí vùng nguyên liệu; khoản 3 Điều 20 lại giao Bộ ban hành tiêu chí và hướng dẫn phát triển vùng nguyên liệu.</w:t>
            </w:r>
          </w:p>
          <w:p w14:paraId="48933DE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sửa: Nghị định chỉ quy định nguyên tắc, nhóm tiêu chí; Việc ban hành tiêu chí và hướng dẫn thực hiện phát triển vùng nguyên liệu được quy định tại văn bản khác.</w:t>
            </w:r>
          </w:p>
        </w:tc>
        <w:tc>
          <w:tcPr>
            <w:tcW w:w="4567" w:type="dxa"/>
            <w:vMerge w:val="restart"/>
          </w:tcPr>
          <w:p w14:paraId="79D7A06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theo hướng:</w:t>
            </w:r>
          </w:p>
          <w:p w14:paraId="5B326F3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Điều 9 chỉ quy định nguyên tắc, yêu cầu và nhóm tiêu chí chung của vùng nguyên liệu nông nghiệp;</w:t>
            </w:r>
          </w:p>
          <w:p w14:paraId="3E7DF74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Điểm C, </w:t>
            </w:r>
            <w:r>
              <w:rPr>
                <w:rFonts w:hint="default" w:ascii="Times New Roman" w:hAnsi="Times New Roman" w:cs="Times New Roman"/>
                <w:sz w:val="26"/>
                <w:szCs w:val="26"/>
              </w:rPr>
              <w:t xml:space="preserve">Khoản </w:t>
            </w:r>
            <w:r>
              <w:rPr>
                <w:rFonts w:hint="default" w:ascii="Times New Roman" w:hAnsi="Times New Roman" w:cs="Times New Roman"/>
                <w:sz w:val="26"/>
                <w:szCs w:val="26"/>
                <w:lang w:val="en-US"/>
              </w:rPr>
              <w:t>1,</w:t>
            </w:r>
            <w:r>
              <w:rPr>
                <w:rFonts w:hint="default" w:ascii="Times New Roman" w:hAnsi="Times New Roman" w:cs="Times New Roman"/>
                <w:sz w:val="26"/>
                <w:szCs w:val="26"/>
              </w:rPr>
              <w:t xml:space="preserve"> Điều 20 được chỉnh lý theo hướng giao Bộ Nông nghiệp và Môi trường ban hành hướng dẫn kỹ thuật, phương pháp xác định, chỉ số đánh giá và hướng dẫn tổ chức thực hiện phát triển vùng nguyên liệu theo từng nhóm sản phẩm, vùng sinh thái, thay vì quy định “ban hành tiêu chí” để tránh trùng lặp với Nghị định;</w:t>
            </w:r>
          </w:p>
          <w:p w14:paraId="53BAA76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Ủy ban nhân dân cấp tỉnh căn cứ khung tiêu chí và hướng dẫn kỹ thuật của Bộ để cụ thể hóa phù hợp với điều kiện thực tiễn của địa phương.</w:t>
            </w:r>
          </w:p>
        </w:tc>
      </w:tr>
      <w:tr w14:paraId="02C9F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E9AA9A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6E6C49C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4B585C9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Tư pháp</w:t>
            </w:r>
          </w:p>
        </w:tc>
        <w:tc>
          <w:tcPr>
            <w:tcW w:w="5475" w:type="dxa"/>
          </w:tcPr>
          <w:p w14:paraId="17E612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Khoản 2 Điều 9 dự thảo Nghị định về tiêu chí vùng nguyên liệu nông nghiệp được thiết kế theo hướng nguyên tắc, chưa cụ thể, rõ ràng, có thể dẫn đến khó khăn hoặc phát sinh nhiều cách hiểu khác nhau trong quá trình áp dụng (ví dụ: Hiểu thế nào và tiêu chí, căn cứ nào xác định là “... Có quy mô tập trung, đáp ứng yêu cầu sản xuất hàng hóa” tại điểm a khoản 2; "... Giao thông nội vùng, thủy lợi, điện, logistic; Hạ tầng môi trường và hạ tầng số cơ bản” tại điểm b khoản 2; “Tiêu chuẩn chất lượng và truy xuất nguồn gốc: Áp dụng quy trình sản xuất thống nhất; Có hệ thống truy xuất nguồn gốc; Đáp ứng yêu cầu thị trường” tại điểm d khoản 2?...). Do đó, đề nghị cơ quan chủ trì soạn thảo tiếp tục rà soát toàn bộ dự thảo Nghị định, nghiên cứu, cụ thể hóa, lượng hóa tối đa các quy định để bảo đảm thống nhất, rõ ràng, khả thi trong tổ chức thi hành.</w:t>
            </w:r>
          </w:p>
        </w:tc>
        <w:tc>
          <w:tcPr>
            <w:tcW w:w="4567" w:type="dxa"/>
            <w:vMerge w:val="continue"/>
          </w:tcPr>
          <w:p w14:paraId="705187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r>
      <w:tr w14:paraId="4440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16DD08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0CE526E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4E133D2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Quản lý Tài nguyên nước</w:t>
            </w:r>
          </w:p>
        </w:tc>
        <w:tc>
          <w:tcPr>
            <w:tcW w:w="5475" w:type="dxa"/>
          </w:tcPr>
          <w:p w14:paraId="531E8A1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Tại khoản 2 Điều 9 của dự thảo Nghị định nêu trên, một số yêu cầu về phát triển vùng nguyên liệu nông nghiệp đã được xác định. Tuy nhiên, để phù hợp với các định hướng, giải pháp của Nghị quyết số 85/NQ-CP ngày 04/4/2026, đề nghị xem xét bổ sung quy định việc phát triển vùng nguyên liệu nông nghiệp phải phù hợp với quy hoạch về tài nguyên nước và khả năng đáp ứng của nguồn nước; bảo đảm sử dụng nước tiết kiệm, hiệu quả và bền vững theo định hướng phát triển nông nghiệp bền vững và bảo đảm an ninh nguồn nước.</w:t>
            </w:r>
          </w:p>
        </w:tc>
        <w:tc>
          <w:tcPr>
            <w:tcW w:w="4567" w:type="dxa"/>
          </w:tcPr>
          <w:p w14:paraId="55A55F2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K</w:t>
            </w:r>
            <w:r>
              <w:rPr>
                <w:rFonts w:hint="default" w:ascii="Times New Roman" w:hAnsi="Times New Roman" w:cs="Times New Roman"/>
                <w:sz w:val="26"/>
                <w:szCs w:val="26"/>
              </w:rPr>
              <w:t>hông cần thiết bổ sung thành một nhóm tiêu chí riêng về tài nguyên nước, bởi nội dung này đã được bao hàm trong các nhóm tiêu chí về quy hoạch, hạ tầng phục vụ sản xuất, ứng dụng khoa học công nghệ, chuyển đổi xanh và phát triển bền vững, đồng thời thuộc phạm vi điều chỉnh trực tiếp của pháp luật chuyên ngành về tài nguyên nước, thủy lợi và bảo vệ môi trường. Việc quy định quá cụ thể trong Nghị định có thể dẫn đến trùng lặp, chồng chéo hoặc khó áp dụng thống nhất giữa các ngành hàng và vùng sinh thái có điều kiện nguồn nước rất khác nhau.</w:t>
            </w:r>
          </w:p>
        </w:tc>
      </w:tr>
      <w:tr w14:paraId="0230A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2D0FA3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39514F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a) Quy mô và quy hoạch: Phù hợp quy hoạch, định hướng phát triển ngành hàng; Có quy mô tập trung, đáp ứng yêu cầu sản xuất hàng hóa;</w:t>
            </w:r>
          </w:p>
          <w:p w14:paraId="461B16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18475B2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Sở NN&amp;MT </w:t>
            </w:r>
            <w:r>
              <w:rPr>
                <w:rFonts w:hint="default" w:ascii="Times New Roman" w:hAnsi="Times New Roman" w:cs="Times New Roman"/>
                <w:sz w:val="26"/>
                <w:szCs w:val="26"/>
                <w:lang w:val="en-US"/>
              </w:rPr>
              <w:t xml:space="preserve">các </w:t>
            </w:r>
            <w:r>
              <w:rPr>
                <w:rFonts w:hint="default" w:ascii="Times New Roman" w:hAnsi="Times New Roman" w:cs="Times New Roman"/>
                <w:sz w:val="26"/>
                <w:szCs w:val="26"/>
              </w:rPr>
              <w:t>tỉnh</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Lào Cai; </w:t>
            </w:r>
            <w:r>
              <w:rPr>
                <w:rFonts w:hint="default" w:ascii="Times New Roman" w:hAnsi="Times New Roman" w:cs="Times New Roman"/>
                <w:sz w:val="26"/>
                <w:szCs w:val="26"/>
                <w:lang w:val="en-US"/>
              </w:rPr>
              <w:t xml:space="preserve">Hà Tĩnh, </w:t>
            </w:r>
            <w:r>
              <w:rPr>
                <w:rFonts w:hint="default" w:ascii="Times New Roman" w:hAnsi="Times New Roman" w:cs="Times New Roman"/>
                <w:sz w:val="26"/>
                <w:szCs w:val="26"/>
                <w:lang w:val="vi-VN"/>
              </w:rPr>
              <w:t>Vĩnh Long</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Học viện nông nghiệp Việt Nam</w:t>
            </w:r>
          </w:p>
        </w:tc>
        <w:tc>
          <w:tcPr>
            <w:tcW w:w="5475" w:type="dxa"/>
          </w:tcPr>
          <w:p w14:paraId="28531A7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xem xét chỉnh sửa điểm a theo hướng:</w:t>
            </w:r>
            <w:r>
              <w:rPr>
                <w:rFonts w:hint="default" w:ascii="Times New Roman" w:hAnsi="Times New Roman" w:cs="Times New Roman"/>
                <w:sz w:val="26"/>
                <w:szCs w:val="26"/>
              </w:rPr>
              <w:br w:type="textWrapping"/>
            </w:r>
            <w:r>
              <w:rPr>
                <w:rFonts w:hint="default" w:ascii="Times New Roman" w:hAnsi="Times New Roman" w:cs="Times New Roman"/>
                <w:sz w:val="26"/>
                <w:szCs w:val="26"/>
              </w:rPr>
              <w:t>“Quy mô và quy hoạch: Phù hợp quy hoạch, định hướng phát triển ngành hàng và địa phương; có quy mô tập trung phù hợp với từng loại sản phẩm, điều kiện sinh thái và tổ chức sản xuất của địa phương, đáp ứng yêu cầu sản xuất hàng hóa.”</w:t>
            </w:r>
          </w:p>
          <w:p w14:paraId="048060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Lý do: để đảm bảo tính thống nhất với điểm a khoản 1 Điều 9, khoản 2 Điều 21 và phù hợp theo điều kiện thực tế của sản xuất và một số loại cây trồng chủ lực tại các địa phương.</w:t>
            </w:r>
          </w:p>
        </w:tc>
        <w:tc>
          <w:tcPr>
            <w:tcW w:w="4567" w:type="dxa"/>
          </w:tcPr>
          <w:p w14:paraId="4C08A1B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Chỉnh sửa như sau: “Phù hợp quy hoạch, định hướng phát triển ngành hàng và địa phương; có quy mô tập trung phù hợp với từng loại sản phẩm, điều kiện sinh thái và tổ chức sản xuất của địa phương, đáp ứng yêu cầu sản xuất nông nghiệp hàng hóa”.</w:t>
            </w:r>
          </w:p>
        </w:tc>
      </w:tr>
      <w:tr w14:paraId="2597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68E7DE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2380107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b) Hạ tầng phục vụ sản xuất và liên kết: Giao thông nội vùng, thủy lợi, điện, logistics; Hạ tầng môi trường và hạ tầng số cơ bản.</w:t>
            </w:r>
          </w:p>
        </w:tc>
        <w:tc>
          <w:tcPr>
            <w:tcW w:w="1898" w:type="dxa"/>
          </w:tcPr>
          <w:p w14:paraId="03042BA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Sở NN&amp;MT tỉnh Lào Cai</w:t>
            </w:r>
          </w:p>
        </w:tc>
        <w:tc>
          <w:tcPr>
            <w:tcW w:w="5475" w:type="dxa"/>
          </w:tcPr>
          <w:p w14:paraId="520C57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Đề nghị nghiên cứu cụ thể hóa cụm từ “Hạ tầng số cơ bản” (Ví dụ: có hệ thống nhật ký sản xuất điện tử hoặc trạm quan trắc thông minh…). Lý do: Để các địa phương tổ chức triển khai thực hiện, giám sát đánh giá…đảm bảo tính khả thi, phù hợp với thực tế.</w:t>
            </w:r>
          </w:p>
        </w:tc>
        <w:tc>
          <w:tcPr>
            <w:tcW w:w="4567" w:type="dxa"/>
          </w:tcPr>
          <w:p w14:paraId="3E783BB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và bổ sung</w:t>
            </w:r>
          </w:p>
        </w:tc>
      </w:tr>
      <w:tr w14:paraId="6C84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E28AD7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993712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d) Tiêu chuẩn chất lượng và truy xuất nguồn gốc: Áp dụng quy trình sản xuất thống nhất; Có hệ thống truy xuất nguồn gốc; Đáp ứng yêu cầu thị trường;</w:t>
            </w:r>
          </w:p>
        </w:tc>
        <w:tc>
          <w:tcPr>
            <w:tcW w:w="1898" w:type="dxa"/>
          </w:tcPr>
          <w:p w14:paraId="086853C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Chuyển đổi số</w:t>
            </w:r>
          </w:p>
        </w:tc>
        <w:tc>
          <w:tcPr>
            <w:tcW w:w="5475" w:type="dxa"/>
          </w:tcPr>
          <w:p w14:paraId="25631A7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Điểm d, Khoản 2, Điều 9: đề nghị điều chỉnh nội dung “Có hệ thống truy xuất nguồn gốc” thành “Có triển khai hoặc ứng dụng hệ thống truy xuất nguồn gốc đạt tiêu chuẩn” nhằm làm rõ vùng nguyên liệu phải đáp ứng yêu cầu về truy xuất nguồn gốc, đồng thời thống nhất với nội dung quy định về chính sách hỗ trợ tại Điểm b, Khoản 1, Điều 14.</w:t>
            </w:r>
          </w:p>
        </w:tc>
        <w:tc>
          <w:tcPr>
            <w:tcW w:w="4567" w:type="dxa"/>
          </w:tcPr>
          <w:p w14:paraId="65FB15E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và điều chỉnh</w:t>
            </w:r>
          </w:p>
        </w:tc>
      </w:tr>
      <w:tr w14:paraId="3521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041BCF3">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0A0D374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tcPr>
          <w:p w14:paraId="68BFD50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Sở Nông nghiệp và Môi trường </w:t>
            </w:r>
            <w:r>
              <w:rPr>
                <w:rFonts w:hint="default" w:ascii="Times New Roman" w:hAnsi="Times New Roman" w:cs="Times New Roman"/>
                <w:sz w:val="26"/>
                <w:szCs w:val="26"/>
                <w:lang w:val="vi-VN"/>
              </w:rPr>
              <w:t>TP</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Hồ Chí Minh</w:t>
            </w:r>
          </w:p>
        </w:tc>
        <w:tc>
          <w:tcPr>
            <w:tcW w:w="5475" w:type="dxa"/>
          </w:tcPr>
          <w:p w14:paraId="5561323F">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de-DE" w:eastAsia="ja-JP"/>
              </w:rPr>
            </w:pPr>
            <w:r>
              <w:rPr>
                <w:rFonts w:hint="default" w:ascii="Times New Roman" w:hAnsi="Times New Roman" w:cs="Times New Roman"/>
                <w:sz w:val="26"/>
                <w:szCs w:val="26"/>
                <w:lang w:val="de-DE" w:eastAsia="ja-JP"/>
              </w:rPr>
              <w:t>Tại Điều 9 dự thảo Nghị định: đề nghị rà soát, hoàn thiện quy định về phát triển vùng nguyên liệu theo hướng cụ thể, dễ xác định và phù hợp với điều kiện thực tế của từng địa phương, cụ thể:</w:t>
            </w:r>
          </w:p>
          <w:p w14:paraId="57F081F0">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de-DE" w:eastAsia="ja-JP"/>
              </w:rPr>
            </w:pPr>
            <w:r>
              <w:rPr>
                <w:rFonts w:hint="default" w:ascii="Times New Roman" w:hAnsi="Times New Roman" w:cs="Times New Roman"/>
                <w:sz w:val="26"/>
                <w:szCs w:val="26"/>
                <w:lang w:val="de-DE" w:eastAsia="ja-JP"/>
              </w:rPr>
              <w:t>- Đề nghị làm rõ tiêu chí xác định “vùng nguyên liệu tập trung”, bao gồm: có bắt buộc phải liền vùng, liền thửa hay không; trường hợp vùng sản xuất phân tán nhưng cùng địa bàn hành chính, cùng loại cây trồng, vật nuôi và cùng tham gia một chuỗi liên kết thì có được xem là vùng nguyên liệu hay không.</w:t>
            </w:r>
          </w:p>
          <w:p w14:paraId="48E55EFA">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de-DE" w:eastAsia="ja-JP"/>
              </w:rPr>
            </w:pPr>
            <w:r>
              <w:rPr>
                <w:rFonts w:hint="default" w:ascii="Times New Roman" w:hAnsi="Times New Roman" w:cs="Times New Roman"/>
                <w:sz w:val="26"/>
                <w:szCs w:val="26"/>
                <w:lang w:val="de-DE" w:eastAsia="ja-JP"/>
              </w:rPr>
              <w:t>- Đề nghị quy định cụ thể thế nào là “liên kết ổn định” với cơ sở chế biến hoặc đơn vị tiêu thụ, ví dụ: tỷ lệ sản lượng tham gia liên kết tối thiểu; thời gian duy trì hợp đồng liên kết; tỷ lệ sản phẩm được bao tiêu hằng năm.</w:t>
            </w:r>
          </w:p>
          <w:p w14:paraId="7AF51D28">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de-DE" w:eastAsia="ja-JP"/>
              </w:rPr>
            </w:pPr>
            <w:r>
              <w:rPr>
                <w:rFonts w:hint="default" w:ascii="Times New Roman" w:hAnsi="Times New Roman" w:cs="Times New Roman"/>
                <w:sz w:val="26"/>
                <w:szCs w:val="26"/>
                <w:lang w:val="de-DE" w:eastAsia="ja-JP"/>
              </w:rPr>
              <w:t>- Đề nghị nghiên cứu phân loại vùng nguyên liệu theo 02 mức gồm mức cơ bản và mức nâng cao để phù hợp với điều kiện thực tế của từng địa phương. Trong đó:</w:t>
            </w:r>
            <w:r>
              <w:rPr>
                <w:rFonts w:hint="default" w:ascii="Times New Roman" w:hAnsi="Times New Roman" w:cs="Times New Roman"/>
                <w:sz w:val="26"/>
                <w:szCs w:val="26"/>
                <w:lang w:val="en-US" w:eastAsia="ja-JP"/>
              </w:rPr>
              <w:t xml:space="preserve"> (i) </w:t>
            </w:r>
            <w:r>
              <w:rPr>
                <w:rFonts w:hint="default" w:ascii="Times New Roman" w:hAnsi="Times New Roman" w:cs="Times New Roman"/>
                <w:sz w:val="26"/>
                <w:szCs w:val="26"/>
                <w:lang w:val="de-DE" w:eastAsia="ja-JP"/>
              </w:rPr>
              <w:t>Mức cơ bản có thể bao gồm các tiêu chí như có diện tích sản xuất tập trung nhất định, có hợp đồng liên kết tiêu thụ bước đầu, đáp ứng yêu cầu tối thiểu về chất lượng sản phẩm;</w:t>
            </w:r>
            <w:r>
              <w:rPr>
                <w:rFonts w:hint="default" w:ascii="Times New Roman" w:hAnsi="Times New Roman" w:cs="Times New Roman"/>
                <w:sz w:val="26"/>
                <w:szCs w:val="26"/>
                <w:lang w:val="en-US" w:eastAsia="ja-JP"/>
              </w:rPr>
              <w:t xml:space="preserve"> (ii) </w:t>
            </w:r>
            <w:r>
              <w:rPr>
                <w:rFonts w:hint="default" w:ascii="Times New Roman" w:hAnsi="Times New Roman" w:cs="Times New Roman"/>
                <w:sz w:val="26"/>
                <w:szCs w:val="26"/>
                <w:lang w:val="de-DE" w:eastAsia="ja-JP"/>
              </w:rPr>
              <w:t>Mức nâng cao có thể bao gồm các tiêu chí như áp dụng chuyển đổi số trong quản lý sản xuất, có hệ thống truy xuất nguồn gốc đầy đủ, áp dụng tiêu chuẩn sản xuất tiên tiến (VietGAP, GlobalGAP…), có liên kết ổn định và bền vững với doanh nghiệp chế biến, xuất khẩu.</w:t>
            </w:r>
            <w:r>
              <w:rPr>
                <w:rFonts w:hint="default" w:ascii="Times New Roman" w:hAnsi="Times New Roman" w:cs="Times New Roman"/>
                <w:sz w:val="26"/>
                <w:szCs w:val="26"/>
                <w:lang w:val="en-US" w:eastAsia="ja-JP"/>
              </w:rPr>
              <w:t xml:space="preserve"> </w:t>
            </w:r>
            <w:r>
              <w:rPr>
                <w:rFonts w:hint="default" w:ascii="Times New Roman" w:hAnsi="Times New Roman" w:cs="Times New Roman"/>
                <w:sz w:val="26"/>
                <w:szCs w:val="26"/>
                <w:lang w:val="de-DE" w:eastAsia="ja-JP"/>
              </w:rPr>
              <w:t>Lý do: Việc quy định cụ thể và phân tầng tiêu chí sẽ tạo thuận lợi cho địa phương trong quá trình công nhận, quản lý và tổ chức thực hiện; đồng thời phù hợp với thực tế hiện nay khi nhiều địa phương chưa đủ điều kiện đạt ngay các tiêu chí ở mức cao nhưng vẫn có nhu cầu tham gia phát triển vùng nguyên liệu theo lộ trình phù hợp.</w:t>
            </w:r>
          </w:p>
        </w:tc>
        <w:tc>
          <w:tcPr>
            <w:tcW w:w="4567" w:type="dxa"/>
          </w:tcPr>
          <w:p w14:paraId="48EA9F5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K</w:t>
            </w:r>
            <w:r>
              <w:rPr>
                <w:rFonts w:hint="default" w:ascii="Times New Roman" w:hAnsi="Times New Roman" w:cs="Times New Roman"/>
                <w:sz w:val="26"/>
                <w:szCs w:val="26"/>
                <w:lang w:val="vi-VN"/>
              </w:rPr>
              <w:t xml:space="preserve">hông nên quy định cứng theo hướng bắt buộc phải “liền vùng, liền thửa”, do thực tiễn sản xuất nông nghiệp Việt Nam còn phân tán, đặc biệt đối với cây ăn quả, rau màu, chăn nuôi, thủy sản và khu vực đô thị, ven đô như </w:t>
            </w:r>
            <w:r>
              <w:rPr>
                <w:rFonts w:hint="default" w:ascii="Times New Roman" w:hAnsi="Times New Roman" w:cs="Times New Roman"/>
                <w:sz w:val="26"/>
                <w:szCs w:val="26"/>
                <w:lang w:val="en-US"/>
              </w:rPr>
              <w:t xml:space="preserve">TP. </w:t>
            </w:r>
            <w:r>
              <w:rPr>
                <w:rFonts w:hint="default" w:ascii="Times New Roman" w:hAnsi="Times New Roman" w:cs="Times New Roman"/>
                <w:sz w:val="26"/>
                <w:szCs w:val="26"/>
                <w:lang w:val="vi-VN"/>
              </w:rPr>
              <w:t>Hồ Chí Minh.</w:t>
            </w:r>
          </w:p>
          <w:p w14:paraId="307375D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Nghị định không quy định cứng các ngưỡng định lượng (tỷ lệ sản lượng, thời gian hợp đồng, tỷ lệ bao tiêu tối thiểu) do đặc thù rất khác nhau giữa ngành hàng, chu kỳ sản xuất và phương thức tiêu thụ. Tuy nhiên, tiếp thu bổ sung nguyên tắc xác định “liên kết ổn định” theo hướng có hợp đồng hoặc thỏa thuận liên kết.</w:t>
            </w:r>
          </w:p>
          <w:p w14:paraId="6DB7DBB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Về đề nghị phân loại vùng nguyên liệu theo mức cơ bản và nâng cao: Không quy định tại Khoản 2, Điều 9 do ở đây chỉ quy định nguyên tắc, yêu cầu và nhóm tiêu chí chung của vùng nguyên liệu nông nghiệp. Tuy nhiên, sẽ tiếp thu ở hướng dẫn khung tiêu chí tại Phụ lục.</w:t>
            </w:r>
          </w:p>
        </w:tc>
      </w:tr>
      <w:tr w14:paraId="3430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E48D897">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202630C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3. Tổ chức phát triển vùng nguyên liệu nông nghiệp</w:t>
            </w:r>
          </w:p>
        </w:tc>
        <w:tc>
          <w:tcPr>
            <w:tcW w:w="1898" w:type="dxa"/>
          </w:tcPr>
          <w:p w14:paraId="7429CA3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0240436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7665A32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743A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33A9B27">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FC1F8A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val="vi-VN" w:eastAsia="vi-VN"/>
              </w:rPr>
              <w:t xml:space="preserve">a) </w:t>
            </w:r>
            <w:r>
              <w:rPr>
                <w:rFonts w:hint="default" w:ascii="Times New Roman" w:hAnsi="Times New Roman" w:eastAsia="Times New Roman" w:cs="Times New Roman"/>
                <w:sz w:val="26"/>
                <w:szCs w:val="26"/>
                <w:lang w:eastAsia="vi-VN"/>
              </w:rPr>
              <w:t>Hợp tác xã, liên hiệp hợp tác xã tổ chức sản xuất, tập hợp hộ nông dân, áp dụng quy trình kỹ thuật thống nhất và quản lý chất lượng trong vùng nguyên liệu;</w:t>
            </w:r>
          </w:p>
          <w:p w14:paraId="4A5EEB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b) Doanh nghiệp liên kết với hợp tác xã, liên hiệp hợp tác xã và người sản xuất để phát triển vùng nguyên liệu, cung ứng đầu vào, hướng dẫn kỹ thuật, thu mua, chế biến và tiêu thụ sản phẩm</w:t>
            </w:r>
          </w:p>
        </w:tc>
        <w:tc>
          <w:tcPr>
            <w:tcW w:w="1898" w:type="dxa"/>
          </w:tcPr>
          <w:p w14:paraId="367D80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Hà Tĩnh; Cà Mau;  </w:t>
            </w:r>
            <w:r>
              <w:rPr>
                <w:rFonts w:hint="default" w:ascii="Times New Roman" w:hAnsi="Times New Roman" w:cs="Times New Roman"/>
                <w:sz w:val="26"/>
                <w:szCs w:val="26"/>
                <w:lang w:val="vi-VN"/>
              </w:rPr>
              <w:t>Bộ Công Thương</w:t>
            </w:r>
          </w:p>
        </w:tc>
        <w:tc>
          <w:tcPr>
            <w:tcW w:w="5475" w:type="dxa"/>
          </w:tcPr>
          <w:p w14:paraId="27A4D6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Tại </w:t>
            </w:r>
            <w:r>
              <w:rPr>
                <w:rFonts w:hint="default" w:ascii="Times New Roman" w:hAnsi="Times New Roman" w:cs="Times New Roman"/>
                <w:sz w:val="26"/>
                <w:szCs w:val="26"/>
              </w:rPr>
              <w:t xml:space="preserve">điểm </w:t>
            </w:r>
            <w:r>
              <w:rPr>
                <w:rFonts w:hint="default" w:ascii="Times New Roman" w:hAnsi="Times New Roman" w:cs="Times New Roman"/>
                <w:sz w:val="26"/>
                <w:szCs w:val="26"/>
                <w:lang w:val="vi-VN"/>
              </w:rPr>
              <w:t>a, b</w:t>
            </w:r>
            <w:r>
              <w:rPr>
                <w:rFonts w:hint="default" w:ascii="Times New Roman" w:hAnsi="Times New Roman" w:cs="Times New Roman"/>
                <w:sz w:val="26"/>
                <w:szCs w:val="26"/>
              </w:rPr>
              <w:t xml:space="preserve"> khoản 3 Điều 9 của Dự thảo Nghị định: Đề nghị xem xét lại vai trò chính của các chủ thể như vai trò của Doanh nghiệp, Hợp tác xã do các doanh nghiệp có thể thực hiện được vai trò của HTX và liên hiệp HTX và ngược lại nhằm khuyến khích đối tượng doanh nghiệp tham gia sâu hơn vào hoạt động đầu tư sản xuất nông nghiệp công nghệ. </w:t>
            </w:r>
          </w:p>
          <w:p w14:paraId="7AF3DE3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Đề nghị sửa thành </w:t>
            </w:r>
          </w:p>
          <w:p w14:paraId="470F739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-“Hợp tác xã, liên hiệp hợp tác xã tổ chức sản xuất…” thành quy định mở hơn như “Các tổ chức, cá nhân tổ chức sản xuất, áp dụng quy trình kỹ thuật thống nhất…”.</w:t>
            </w:r>
          </w:p>
          <w:p w14:paraId="07B81AD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Bổ sung cụm từ “Sơ chế” và sửa thành “Doanh nghiệp liên kết với hợp tác xã, liên hiệp hợp tác xã và người sản xuất để phát triển vùng nguyên liệu, cung ứng đầu vào, hướng dẫn kỹ thuật, thu mua, sơ chế, chế biến và tiêu thụ sản phẩm”; </w:t>
            </w:r>
          </w:p>
        </w:tc>
        <w:tc>
          <w:tcPr>
            <w:tcW w:w="4567" w:type="dxa"/>
          </w:tcPr>
          <w:p w14:paraId="3CE9E67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ý kiến vầ vai trò của HTX. Tuy nhiên, vẫn cần xác định vai trò trọng tâm của HTX trong tập hợp nông dân, tổ chức sản xuất và quản lý vùng nguyên liệu, bảo đảm phù hợp với chức năng, bản chất của kinh tế hợp tác và định hướng phát triển HTX nông nghiệp.</w:t>
            </w:r>
          </w:p>
          <w:p w14:paraId="7C69AD9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bổ sung cụm từ “Sơ chế”.</w:t>
            </w:r>
          </w:p>
        </w:tc>
      </w:tr>
      <w:tr w14:paraId="16A1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39336D0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04E9C87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c) Ủy ban nhân dân cấp tỉnh tổ chức quy hoạch, xác định vùng nguyên liệu trên địa bàn; ban hành kế hoạch phát triển vùng nguyên liệu nông nghiệp gắn với liên kết chuỗi giá trị và bố trí nguồn lực thực hiện trên địa bàn.</w:t>
            </w:r>
          </w:p>
        </w:tc>
        <w:tc>
          <w:tcPr>
            <w:tcW w:w="1898" w:type="dxa"/>
          </w:tcPr>
          <w:p w14:paraId="17BCFFF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Tuyên Quang</w:t>
            </w:r>
          </w:p>
        </w:tc>
        <w:tc>
          <w:tcPr>
            <w:tcW w:w="5475" w:type="dxa"/>
          </w:tcPr>
          <w:p w14:paraId="48B43BB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xem xét bỏ điểm c khoản 3 Điều 9. Lý do: Đối với cấp tỉnh sau đại hội đảng bộ các cấp đã ban hành Kế hoạch phát triển kinh tế-xã hội trên địa bàn toàn tỉnh đảm bảo phù hợp với quy hoạch tỉnh; tỉnh cũng xây dựng kế hoạch hoặc đề án phát triển sản xuất nông nghiệp hàng hóa. Việc phát triển vùng nguyên liệu sản xuất nông nghiệp định hướng phát triển thực hiện thông qua nhiều hình thức (dự án liên kết, dự án cộng đồng, dự án phi chính phủ</w:t>
            </w:r>
            <w:r>
              <w:rPr>
                <w:rFonts w:hint="default" w:ascii="Times New Roman" w:hAnsi="Times New Roman" w:cs="Times New Roman"/>
                <w:sz w:val="26"/>
                <w:szCs w:val="26"/>
                <w:lang w:val="en-US"/>
              </w:rPr>
              <w:t>,</w:t>
            </w:r>
            <w:r>
              <w:rPr>
                <w:rFonts w:hint="default" w:ascii="Times New Roman" w:hAnsi="Times New Roman" w:cs="Times New Roman"/>
                <w:sz w:val="26"/>
                <w:szCs w:val="26"/>
              </w:rPr>
              <w:t>...) đảm bảo phù hợp với điều kiện lập địa và lợi thế vùng miền. Việc quy định UBND tỉnh tổ chức quy hoạch, xác định vùng nguyên liệu; ban hành kế hoạch phát triển vùng nguyên liệu nông nghiệp gắn với liên kết không cần thiết quy định trong dự thảo Nghị định này; nếu quy định sẽ tạo ra điều kiện bắt buộc phải ban hành thêm nhiều văn bản hành chính nữa mới triển khai được chính sách hỗ trợ này.</w:t>
            </w:r>
          </w:p>
        </w:tc>
        <w:tc>
          <w:tcPr>
            <w:tcW w:w="4567" w:type="dxa"/>
          </w:tcPr>
          <w:p w14:paraId="5643E93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T</w:t>
            </w:r>
            <w:r>
              <w:rPr>
                <w:rFonts w:hint="default" w:ascii="Times New Roman" w:hAnsi="Times New Roman" w:cs="Times New Roman"/>
                <w:sz w:val="26"/>
                <w:szCs w:val="26"/>
                <w:lang w:val="vi-VN"/>
              </w:rPr>
              <w:t xml:space="preserve">hống nhất với ý kiến cho rằng việc phát triển vùng nguyên liệu nông nghiệp hiện nay đã và đang được địa phương triển khai thông qua nhiều công cụ quản lý, chương trình, đề án, dự án khác nhau, bảo đảm phù hợp với quy hoạch tỉnh, kế hoạch phát triển </w:t>
            </w:r>
            <w:r>
              <w:rPr>
                <w:rFonts w:hint="default" w:ascii="Times New Roman" w:hAnsi="Times New Roman" w:cs="Times New Roman"/>
                <w:sz w:val="26"/>
                <w:szCs w:val="26"/>
                <w:lang w:val="en-US"/>
              </w:rPr>
              <w:t>KT-XH</w:t>
            </w:r>
            <w:r>
              <w:rPr>
                <w:rFonts w:hint="default" w:ascii="Times New Roman" w:hAnsi="Times New Roman" w:cs="Times New Roman"/>
                <w:sz w:val="26"/>
                <w:szCs w:val="26"/>
                <w:lang w:val="vi-VN"/>
              </w:rPr>
              <w:t xml:space="preserve"> và điều kiện thực tiễn của từng địa phương. Do đó, không nhất thiết quy định theo hướng bắt buộc </w:t>
            </w:r>
            <w:r>
              <w:rPr>
                <w:rFonts w:hint="default" w:ascii="Times New Roman" w:hAnsi="Times New Roman" w:cs="Times New Roman"/>
                <w:sz w:val="26"/>
                <w:szCs w:val="26"/>
                <w:lang w:val="en-US"/>
              </w:rPr>
              <w:t>UBND</w:t>
            </w:r>
            <w:r>
              <w:rPr>
                <w:rFonts w:hint="default" w:ascii="Times New Roman" w:hAnsi="Times New Roman" w:cs="Times New Roman"/>
                <w:sz w:val="26"/>
                <w:szCs w:val="26"/>
                <w:lang w:val="vi-VN"/>
              </w:rPr>
              <w:t xml:space="preserve"> cấp tỉnh phải ban hành riêng kế hoạch phát triển vùng nguyên liệu nông nghiệp gắn với liên kết chuỗi giá trị, tránh phát sinh thêm thủ tục hành chính, văn bản quản lý và điều kiện tổ chức thực hiện chính sách.</w:t>
            </w:r>
          </w:p>
          <w:p w14:paraId="4563899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Tuy nhiên, cơ quan soạn thảo cho rằng vẫn cần quy định trách nhiệm của địa phương trong việc xác định định hướng, vùng ưu tiên phát triển vùng nguyên liệu gắn với liên kết chuỗi giá trị và bố trí nguồn lực phù hợp, nhằm tạo cơ sở triển khai chính sách hỗ trợ thống nhất, hiệu quả.</w:t>
            </w:r>
          </w:p>
        </w:tc>
      </w:tr>
      <w:tr w14:paraId="726A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1BABFD5">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continue"/>
          </w:tcPr>
          <w:p w14:paraId="545E3CF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tcPr>
          <w:p w14:paraId="3E55FA3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Môi trường tỉnh </w:t>
            </w:r>
            <w:r>
              <w:rPr>
                <w:rFonts w:hint="default" w:ascii="Times New Roman" w:hAnsi="Times New Roman" w:cs="Times New Roman"/>
                <w:sz w:val="26"/>
                <w:szCs w:val="26"/>
              </w:rPr>
              <w:t>Hà Tĩnh</w:t>
            </w:r>
          </w:p>
        </w:tc>
        <w:tc>
          <w:tcPr>
            <w:tcW w:w="5475" w:type="dxa"/>
          </w:tcPr>
          <w:p w14:paraId="036C0C8F">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de-DE" w:eastAsia="ja-JP"/>
              </w:rPr>
            </w:pPr>
            <w:r>
              <w:rPr>
                <w:rFonts w:hint="default" w:ascii="Times New Roman" w:hAnsi="Times New Roman" w:cs="Times New Roman"/>
                <w:sz w:val="26"/>
                <w:szCs w:val="26"/>
                <w:lang w:val="vi-VN" w:eastAsia="ja-JP"/>
              </w:rPr>
              <w:t xml:space="preserve">Điểm c khoản 3 quy định </w:t>
            </w:r>
            <w:r>
              <w:rPr>
                <w:rFonts w:hint="default" w:ascii="Times New Roman" w:hAnsi="Times New Roman" w:cs="Times New Roman"/>
                <w:i/>
                <w:iCs/>
                <w:sz w:val="26"/>
                <w:szCs w:val="26"/>
                <w:lang w:val="vi-VN" w:eastAsia="ja-JP"/>
              </w:rPr>
              <w:t xml:space="preserve">“Ủy ban nhân dân cấp tỉnh …ban hành kế hoạch phát triển vùng nguyên liệu nông nghiệp gắn với liên kết chuỗi giá trị trên địa bàn”. </w:t>
            </w:r>
            <w:r>
              <w:rPr>
                <w:rFonts w:hint="default" w:ascii="Times New Roman" w:hAnsi="Times New Roman" w:cs="Times New Roman"/>
                <w:sz w:val="26"/>
                <w:szCs w:val="26"/>
                <w:lang w:val="vi-VN" w:eastAsia="ja-JP"/>
              </w:rPr>
              <w:t xml:space="preserve">Trong khi đó, tại khoản 3 Điều 21 (trách nhiệm của Ủy ban nhân dân cấp tỉnh) lại quy định Ủy ban nhân dân cấp tỉnh: </w:t>
            </w:r>
            <w:r>
              <w:rPr>
                <w:rFonts w:hint="default" w:ascii="Times New Roman" w:hAnsi="Times New Roman" w:cs="Times New Roman"/>
                <w:i/>
                <w:iCs/>
                <w:sz w:val="26"/>
                <w:szCs w:val="26"/>
                <w:lang w:val="vi-VN" w:eastAsia="ja-JP"/>
              </w:rPr>
              <w:t>“Ban hành theo thẩm quyền hoặc trình Hội đồng nhân dân cấp tỉnh ban hành kế hoạch, chính sách phát triển liên kết chuỗi giá trị và vùng nguyên liệu nông sản trên địa bàn toàn tỉnh phù hợp với điều kiện địa phương”</w:t>
            </w:r>
            <w:r>
              <w:rPr>
                <w:rFonts w:hint="default" w:ascii="Times New Roman" w:hAnsi="Times New Roman" w:cs="Times New Roman"/>
                <w:sz w:val="26"/>
                <w:szCs w:val="26"/>
                <w:lang w:val="vi-VN" w:eastAsia="ja-JP"/>
              </w:rPr>
              <w:t>. Qua rà soát, hai quy định trên có nội dung liên quan nhưng chưa thống nhất về thẩm quyền ban hành và phạm vi nội dung kế hoạch. Đề nghị cơ quan soạn thảo nghiên cứu, rà soát và quy định thống nhất về thẩm quyền, nội dung kế hoạch nhằm bảo đảm đồng bộ trong tổ chức thực hiện giữa các địa phương, tránh chồng chéo hoặc cách hiểu khác nhau.</w:t>
            </w:r>
          </w:p>
        </w:tc>
        <w:tc>
          <w:tcPr>
            <w:tcW w:w="4567" w:type="dxa"/>
          </w:tcPr>
          <w:p w14:paraId="632A8CD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Bỏ quy định tại Điểm C, Khoản 3, Điều 9 để bổ sung vào Khoản 2 và Khoản 3 Điều 21 về Trách nhiệm của UBND cấp tỉnh.</w:t>
            </w:r>
          </w:p>
        </w:tc>
      </w:tr>
      <w:tr w14:paraId="1F09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4B844C2">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3030378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tcPr>
          <w:p w14:paraId="59B7F3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PGS.TS Chu Tiến Quang</w:t>
            </w:r>
          </w:p>
        </w:tc>
        <w:tc>
          <w:tcPr>
            <w:tcW w:w="5475" w:type="dxa"/>
          </w:tcPr>
          <w:p w14:paraId="7DD81E38">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eastAsia="ja-JP"/>
              </w:rPr>
            </w:pPr>
            <w:r>
              <w:rPr>
                <w:rFonts w:hint="default" w:ascii="Times New Roman" w:hAnsi="Times New Roman" w:cs="Times New Roman"/>
                <w:sz w:val="26"/>
                <w:szCs w:val="26"/>
                <w:lang w:val="vi-VN" w:eastAsia="ja-JP"/>
              </w:rPr>
              <w:t>Bổ sung đầy đủ quy định về tổ chức, đầu tư, quản lý và trách nhiệm phát triển vùng nguyên liệu.</w:t>
            </w:r>
          </w:p>
        </w:tc>
        <w:tc>
          <w:tcPr>
            <w:tcW w:w="4567" w:type="dxa"/>
          </w:tcPr>
          <w:p w14:paraId="39439C9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Chỉnh lý Điều 9 theo hướng quy định đầy đủ hơn về tổ chức và phát triển vùng nguyên liệu.</w:t>
            </w:r>
          </w:p>
        </w:tc>
      </w:tr>
      <w:tr w14:paraId="1CB1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81" w:type="dxa"/>
            <w:shd w:val="clear" w:color="auto" w:fill="92D050"/>
          </w:tcPr>
          <w:p w14:paraId="4726D84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14586" w:type="dxa"/>
            <w:gridSpan w:val="4"/>
            <w:shd w:val="clear" w:color="auto" w:fill="92D050"/>
            <w:vAlign w:val="center"/>
          </w:tcPr>
          <w:p w14:paraId="61BFF4A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firstLine="0" w:firstLineChars="0"/>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color w:val="auto"/>
                <w:sz w:val="26"/>
                <w:szCs w:val="26"/>
                <w:lang w:val="vi-VN" w:eastAsia="vi-VN"/>
              </w:rPr>
              <w:t>Chương I</w:t>
            </w:r>
            <w:r>
              <w:rPr>
                <w:rFonts w:hint="default" w:ascii="Times New Roman" w:hAnsi="Times New Roman" w:eastAsia="Times New Roman" w:cs="Times New Roman"/>
                <w:b/>
                <w:bCs/>
                <w:color w:val="auto"/>
                <w:sz w:val="26"/>
                <w:szCs w:val="26"/>
                <w:lang w:val="en-US" w:eastAsia="vi-VN"/>
              </w:rPr>
              <w:t>II: CHÍNH SÁCH PHÁT TRIỂN LIÊN KẾT CHUỖI GIÁ TRỊ</w:t>
            </w:r>
          </w:p>
        </w:tc>
      </w:tr>
      <w:tr w14:paraId="2C04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1" w:type="dxa"/>
          </w:tcPr>
          <w:p w14:paraId="65B2E6B8">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05B7D9B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p>
        </w:tc>
        <w:tc>
          <w:tcPr>
            <w:tcW w:w="1898" w:type="dxa"/>
          </w:tcPr>
          <w:p w14:paraId="6C1F277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Bộ Công thương</w:t>
            </w:r>
          </w:p>
        </w:tc>
        <w:tc>
          <w:tcPr>
            <w:tcW w:w="5475" w:type="dxa"/>
          </w:tcPr>
          <w:p w14:paraId="1DEA514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C</w:t>
            </w:r>
            <w:r>
              <w:rPr>
                <w:rFonts w:hint="default" w:ascii="Times New Roman" w:hAnsi="Times New Roman" w:cs="Times New Roman"/>
                <w:sz w:val="26"/>
                <w:szCs w:val="26"/>
              </w:rPr>
              <w:t>ần rà soát lại để giảm chồng chéo tại các văn bản về chính sách phát triển nông nghiệp còn hiệu lực như: Quyết định số 62/2013/QĐ-TTg ngày 25 tháng 10 năm 2013 của Thủ tướng Chính phủ về “chính sách khuyến khích phát triển hợp tác, liên kết sản xuất gắn với tiêu thụ nông sản, xây dựng cánh đồng lớn”; Nghị định số 57/2018/NĐ-CP ngày 17 tháng 4 năm 2018 của Chính phủ về cơ chế, chính sách khuyến khích doanh nghiệp đầu tư vào nông nghiệp, nông thôn.</w:t>
            </w:r>
          </w:p>
        </w:tc>
        <w:tc>
          <w:tcPr>
            <w:tcW w:w="4567" w:type="dxa"/>
          </w:tcPr>
          <w:p w14:paraId="13A9B2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Tiếp thu. Tuy nhiên, </w:t>
            </w:r>
            <w:r>
              <w:rPr>
                <w:rFonts w:hint="default" w:ascii="Times New Roman" w:hAnsi="Times New Roman" w:cs="Times New Roman"/>
                <w:sz w:val="26"/>
                <w:szCs w:val="26"/>
              </w:rPr>
              <w:t>Quyết định số 62/2013/QĐ-TTg ngày 25 tháng 10 năm 2013 của Thủ tướng Chính phủ về “chính sách khuyến khích phát triển hợp tác, liên kết sản xuất gắn với tiêu thụ nông sản, xây dựng cánh đồng lớn”</w:t>
            </w:r>
            <w:r>
              <w:rPr>
                <w:rFonts w:hint="default" w:ascii="Times New Roman" w:hAnsi="Times New Roman" w:cs="Times New Roman"/>
                <w:sz w:val="26"/>
                <w:szCs w:val="26"/>
                <w:lang w:val="en-US"/>
              </w:rPr>
              <w:t xml:space="preserve"> đã hết hiệu lực.</w:t>
            </w:r>
          </w:p>
        </w:tc>
      </w:tr>
      <w:tr w14:paraId="2A90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1" w:type="dxa"/>
          </w:tcPr>
          <w:p w14:paraId="12CE0944">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74B969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p>
        </w:tc>
        <w:tc>
          <w:tcPr>
            <w:tcW w:w="1898" w:type="dxa"/>
          </w:tcPr>
          <w:p w14:paraId="515F1BF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Bộ Tư pháp</w:t>
            </w:r>
          </w:p>
        </w:tc>
        <w:tc>
          <w:tcPr>
            <w:tcW w:w="5475" w:type="dxa"/>
          </w:tcPr>
          <w:p w14:paraId="73E3747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pacing w:val="3"/>
                <w:kern w:val="0"/>
                <w:sz w:val="26"/>
                <w:szCs w:val="26"/>
                <w14:ligatures w14:val="none"/>
              </w:rPr>
              <w:t>Các chính sách hỗ trợ phát triển liên kết chuỗi giá trị tại Chương III dự thảo Nghị định đều quy định mức kinh phí hỗ trợ cụ thể thực hiện từng chính sách do bộ, cơ quan trung ương, Hội đồng nhân dân các cấp xem xét, quyết định hoặc trình cấp có thẩm quyền xem xét, quyết định phù hợp với định hướng ưu tiên và khả năng cân đối nguồn lực trong từng thời kỳ và quy định của pháp luật (Điều 11, 12, 13, 14 và 15), có thể chưa đảm bảo tính chắc chắn, ổn định, tính đồng bộ, thống nhất trong tổ chức triển khai thực hiện. Việc đáp ứng, phù hợp có tính chất vùng miền, điều kiện của các thời kỳ cụ thể, nếu quá tùy nghi, linh hoạt, có thể tác động tiêu cực đến tính tổng thể của cơ chế, chính sách này. Do đó, để đảm bảo tính khả thi của dự thảo Nghị định, cơ quan chủ trì soạn thảo cần đánh giá kỹ tác động, nhất là các tác động liên quan đến việc thu xếp, bố trí, cân đối hài hòa nguồn lực của Nhà nước; tránh phát sinh tình trạng có cơ chế, chính sách nhưng không thể triển khai được do thiếu nguồn lực hoặc do có mâu thuẫn, xung đột với các quy định pháp luật có liên quan. Đề nghị cơ quan chủ trì soạn thảo phối hợp chặt chẽ với Bộ Tài chính để rà soát, chỉnh lý, hoàn thiện các quy định về cơ chế, chính sách hỗ trợ, nguồn lực tổ chức thi hành Nghị định (sau khi được ban hành). Đồng thời, tại Chương III quy định về chính sách hỗ trợ, cơ quan chủ trì soạn thảo cần rà soát kỹ lưỡng phạm vi, nội dung của các cơ chế, chính sách hỗ trợ, đảm bảo chỉ quy định các cơ chế, chính sách thật sự cần thiết, trọng tâm, trọng điểm, khả thi, thiết thực, tránh trùng lắp, dàn trải, chồng chéo, lãng phí nguồn lực và hạn chế tình trạng lạm dụng chính sách trong thực tế.</w:t>
            </w:r>
          </w:p>
        </w:tc>
        <w:tc>
          <w:tcPr>
            <w:tcW w:w="4567" w:type="dxa"/>
          </w:tcPr>
          <w:p w14:paraId="5CEE7A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Dự thảo Nghị định đã xác định nguyên tắc hỗ trợ theo khả năng cân đối nguồn lực, phân cấp ngân sách và lồng ghép với các chương trình, dự án hiện hành để bảo đảm phù hợp thực tiễn tổ chức thực hiện.</w:t>
            </w:r>
          </w:p>
          <w:p w14:paraId="31718D9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Tuy nhiên, cơ quan soạn thảo cho rằng không nên quy định cứng mức hỗ trợ cụ thể ngay trong Nghị định, do điều kiện ngân sách, ưu tiên phát triển ngành hàng, vùng miền và khả năng huy động nguồn lực của từng địa phương, từng thời kỳ có sự khác nhau</w:t>
            </w:r>
            <w:r>
              <w:rPr>
                <w:rFonts w:hint="default" w:ascii="Times New Roman" w:hAnsi="Times New Roman" w:cs="Times New Roman"/>
                <w:sz w:val="26"/>
                <w:szCs w:val="26"/>
                <w:lang w:val="en-US"/>
              </w:rPr>
              <w:t>.</w:t>
            </w:r>
          </w:p>
        </w:tc>
      </w:tr>
      <w:tr w14:paraId="7BAB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1" w:type="dxa"/>
          </w:tcPr>
          <w:p w14:paraId="614DCB5E">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0023BF5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p>
        </w:tc>
        <w:tc>
          <w:tcPr>
            <w:tcW w:w="1898" w:type="dxa"/>
          </w:tcPr>
          <w:p w14:paraId="4898128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Bộ Công an</w:t>
            </w:r>
          </w:p>
        </w:tc>
        <w:tc>
          <w:tcPr>
            <w:tcW w:w="5475" w:type="dxa"/>
          </w:tcPr>
          <w:p w14:paraId="62F795EE">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pacing w:val="3"/>
                <w:kern w:val="0"/>
                <w:sz w:val="26"/>
                <w:szCs w:val="26"/>
                <w14:ligatures w14:val="none"/>
              </w:rPr>
            </w:pPr>
            <w:r>
              <w:rPr>
                <w:rFonts w:hint="default" w:ascii="Times New Roman" w:hAnsi="Times New Roman" w:eastAsia="Times New Roman" w:cs="Times New Roman"/>
                <w:spacing w:val="3"/>
                <w:kern w:val="0"/>
                <w:sz w:val="26"/>
                <w:szCs w:val="26"/>
                <w:lang w:val="en-US"/>
                <w14:ligatures w14:val="none"/>
              </w:rPr>
              <w:t>- Q</w:t>
            </w:r>
            <w:r>
              <w:rPr>
                <w:rFonts w:hint="default" w:ascii="Times New Roman" w:hAnsi="Times New Roman" w:eastAsia="Times New Roman" w:cs="Times New Roman"/>
                <w:spacing w:val="3"/>
                <w:kern w:val="0"/>
                <w:sz w:val="26"/>
                <w:szCs w:val="26"/>
                <w14:ligatures w14:val="none"/>
              </w:rPr>
              <w:t xml:space="preserve">uy định về chính sách hỗ trợ, lồng ghép nguồn lực, thẩm định, phê duyệt, nghiệm thu và hậu kiểm tại Điều 10, Điều 11, Điều 12, Điều 13, Điều 14, Điều 15, Điều 16, Điều 18 và Điều 19 cần bổ sung cơ chế kiểm soát trước, trong và sau hỗ trợ, nhằm phòng ngừa nguy cơ hỗ trợ trùng lặp, nâng khống chi phí, sử dụng sai mục đích nguồn hỗ trợ, thất thoát ngân sách nhà nước, ảnh hưởng trật tự quản lý kinh tế và trách nhiệm hướng dẫn Nghị định này của Bộ Nông nghiệp và Môi trường. </w:t>
            </w:r>
          </w:p>
          <w:p w14:paraId="28E4A9C9">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pacing w:val="3"/>
                <w:kern w:val="0"/>
                <w:sz w:val="26"/>
                <w:szCs w:val="26"/>
                <w14:ligatures w14:val="none"/>
              </w:rPr>
            </w:pPr>
            <w:r>
              <w:rPr>
                <w:rFonts w:hint="default" w:ascii="Times New Roman" w:hAnsi="Times New Roman" w:eastAsia="Times New Roman" w:cs="Times New Roman"/>
                <w:spacing w:val="3"/>
                <w:kern w:val="0"/>
                <w:sz w:val="26"/>
                <w:szCs w:val="26"/>
                <w:lang w:val="en-US"/>
                <w14:ligatures w14:val="none"/>
              </w:rPr>
              <w:t>- Q</w:t>
            </w:r>
            <w:r>
              <w:rPr>
                <w:rFonts w:hint="default" w:ascii="Times New Roman" w:hAnsi="Times New Roman" w:eastAsia="Times New Roman" w:cs="Times New Roman"/>
                <w:spacing w:val="3"/>
                <w:kern w:val="0"/>
                <w:sz w:val="26"/>
                <w:szCs w:val="26"/>
                <w14:ligatures w14:val="none"/>
              </w:rPr>
              <w:t>uy định về chủ thể trung gian, logistics, tài chính, quỹ đầu tư, bảo hiểm và huy động vốn tại khoản 4 Điều 2, Điều 5, Điều 7, Điều 15 và khoản 3 Điều 17 cần làm rõ điều kiện tham gia, giới hạn hoạt động, trách nhiệm pháp lý và cơ chế kiểm soát rủi ro, nhằm phòng ngừa nguy cơ lợi dụng danh nghĩa liên kết chuỗi để huy động vốn trái phép, lừa đảo, cho vay nặng lãi, thao túng vùng nguyên liệu, gian lận thương mại.</w:t>
            </w:r>
          </w:p>
        </w:tc>
        <w:tc>
          <w:tcPr>
            <w:tcW w:w="4567" w:type="dxa"/>
          </w:tcPr>
          <w:p w14:paraId="6BDEAFE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Về cơ chế kiểm soát: Tiếp thu ý kiến góp ý, cơ quan soạn thảo sẽ rà soát, chỉnh lý các Điều về chính sách hỗ trợ trong dự thảo Nghị định theo hướng bổ sung nguyên tắc kiểm soát trước, trong và sau hỗ trợ, gồm: kiểm tra điều kiện hỗ trợ và tính hợp lệ của hồ sơ; kiểm soát việc thực hiện nội dung hỗ trợ, giải ngân theo tiến độ và kết quả thực hiện; tăng cường hậu kiểm, kiểm tra, giám sát, thanh tra, kiểm toán, công khai minh bạch thông tin và cơ chế thu hồi kinh phí đối với trường hợp sử dụng sai mục đích, hỗ trợ trùng lặp hoặc vi phạm quy định. Đồng thời, bổ sung trách nhiệm của Bộ Nông nghiệp và Môi trường trong hướng dẫn, theo dõi, kiểm tra thực hiện Nghị định để bảo đảm thống nhất trong tổ chức triển khai.</w:t>
            </w:r>
          </w:p>
          <w:p w14:paraId="5514FAB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Về điều kiện tham gia, giới hạn hoạt động và cơ chế kiểm soát rủi ro của các chủ thể trung gian, logistics, tài chính, bảo hiểm, quỹ đầu tư: Cơ quan soạn thảo sẽ rà soát, chỉnh sửa các khoản 4 Điều 2, Điều 5, Điều 7, Điều 15 và khoản 3 Điều 17 theo hướng làm rõ nguyên tắc tham gia của các chủ thể dịch vụ hỗ trợ trong chuỗi giá trị phải tuân thủ pháp luật chuyên ngành; chỉ được thực hiện hoạt động trong phạm vi chức năng, ngành nghề, giấy phép hoặc điều kiện kinh doanh theo quy định của pháp luật; bảo đảm công khai, minh bạch hợp đồng, trách nhiệm pháp lý và cơ chế kiểm soát rủi ro trong liên kết.</w:t>
            </w:r>
          </w:p>
        </w:tc>
      </w:tr>
      <w:tr w14:paraId="7741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BE2A906">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6273D8F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55005B8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vi-VN"/>
              </w:rPr>
              <w:t>Bộ Dân tộc và Tôn giáo</w:t>
            </w:r>
          </w:p>
        </w:tc>
        <w:tc>
          <w:tcPr>
            <w:tcW w:w="5475" w:type="dxa"/>
            <w:shd w:val="clear" w:color="auto" w:fill="auto"/>
            <w:vAlign w:val="top"/>
          </w:tcPr>
          <w:p w14:paraId="721AE98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de-DE" w:eastAsia="ja-JP" w:bidi="ar-SA"/>
                <w14:ligatures w14:val="standardContextual"/>
              </w:rPr>
            </w:pPr>
            <w:r>
              <w:rPr>
                <w:rFonts w:hint="default" w:ascii="Times New Roman" w:hAnsi="Times New Roman" w:cs="Times New Roman"/>
                <w:sz w:val="26"/>
                <w:szCs w:val="26"/>
              </w:rPr>
              <w:t xml:space="preserve">Tại Chương III: Bổ sung một Điều quy định về “Cơ chế quản lý tài chính, tài sản hình thành từ nguồn ngân sách nhà nước hỗ trợ phát triển liên kết chuỗi giá trị”. </w:t>
            </w:r>
          </w:p>
        </w:tc>
        <w:tc>
          <w:tcPr>
            <w:tcW w:w="4567" w:type="dxa"/>
          </w:tcPr>
          <w:p w14:paraId="4927C8F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Lí do, nội dung này đã được điều chỉnh trong pháp luật chuyên ngành về ngân sách nhà nước, đầu tư công, quản lý, sử dụng tài sản công, kế toán và các chương trình, dự án sử dụng vốn nhà nước. Việc quy định lặp lại hoặc vượt phạm vi điều chỉnh của Nghị định có thể dẫn đến chồng chéo, khó áp dụng thống nhất.</w:t>
            </w:r>
          </w:p>
        </w:tc>
      </w:tr>
      <w:tr w14:paraId="5B23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81" w:type="dxa"/>
          </w:tcPr>
          <w:p w14:paraId="25E2FDF6">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29AB32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p>
        </w:tc>
        <w:tc>
          <w:tcPr>
            <w:tcW w:w="1898" w:type="dxa"/>
          </w:tcPr>
          <w:p w14:paraId="5A6B6A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UBND</w:t>
            </w:r>
            <w:r>
              <w:rPr>
                <w:rFonts w:hint="default" w:ascii="Times New Roman" w:hAnsi="Times New Roman" w:cs="Times New Roman"/>
                <w:sz w:val="26"/>
                <w:szCs w:val="26"/>
                <w:lang w:val="en-US"/>
              </w:rPr>
              <w:t xml:space="preserve"> các tỉnh, TP: Lâm Đồng,</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TP</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H</w:t>
            </w:r>
            <w:r>
              <w:rPr>
                <w:rFonts w:hint="default" w:ascii="Times New Roman" w:hAnsi="Times New Roman" w:cs="Times New Roman"/>
                <w:sz w:val="26"/>
                <w:szCs w:val="26"/>
              </w:rPr>
              <w:t>uế</w:t>
            </w:r>
            <w:r>
              <w:rPr>
                <w:rFonts w:hint="default" w:ascii="Times New Roman" w:hAnsi="Times New Roman" w:cs="Times New Roman"/>
                <w:sz w:val="26"/>
                <w:szCs w:val="26"/>
                <w:lang w:val="en-US"/>
              </w:rPr>
              <w:t>;</w:t>
            </w:r>
          </w:p>
          <w:p w14:paraId="57242B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Môi trường </w:t>
            </w:r>
            <w:r>
              <w:rPr>
                <w:rFonts w:hint="default" w:ascii="Times New Roman" w:hAnsi="Times New Roman" w:cs="Times New Roman"/>
                <w:sz w:val="26"/>
                <w:szCs w:val="26"/>
                <w:lang w:val="en-US"/>
              </w:rPr>
              <w:t xml:space="preserve">các </w:t>
            </w:r>
            <w:r>
              <w:rPr>
                <w:rFonts w:hint="default" w:ascii="Times New Roman" w:hAnsi="Times New Roman" w:cs="Times New Roman"/>
                <w:sz w:val="26"/>
                <w:szCs w:val="26"/>
                <w:lang w:val="vi-VN"/>
              </w:rPr>
              <w:t>tỉnh</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Tuyên Quang;  Vĩnh Long</w:t>
            </w:r>
          </w:p>
        </w:tc>
        <w:tc>
          <w:tcPr>
            <w:tcW w:w="5475" w:type="dxa"/>
          </w:tcPr>
          <w:p w14:paraId="0E35F66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Xem xét các Điều 11, 12, 13, 14, 15 mức hỗ trợ đều ghi mức hỗ trợ tối đa là 100%, tuy nhiên để đảm bảo phù hợp với trình độ, năng lực quản lý của chủ thể liên kết, đề nghị xem xét quy định mức tối đa đối với tổng mức hỗ trợ cho từng nội dung chính sách.</w:t>
            </w:r>
          </w:p>
          <w:p w14:paraId="0EFC17E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Trên cơ sở đề nghị bỏ nội dung phân cấp “Mức kinh phí hỗ trợ cụ thể thực hiện từng chính sách do bộ, cơ quan trung ương, Hội đồng nhân dân các cấp xem xét, quyết định hoặc trình cấp có thẩm quyền xem xét, quyết định” tại các điểm khoản sau: Khoản 3 Điều 11; điểm c khoản 3 Điều 12; khoản 3 Điều 13; khoản 3 Điều 14; khoản 3 Điều 15. Để đảm bảo thống nhất triển khai toàn quốc và hạn chế được trường hợp Nghị định ban hành xong, cấp tỉnh phải xây dựng nhiều văn bản quy phạm pháp luật, kế hoạch, đề án thì mới triển khai được chính sách. Trên cơ sở quy định mức tối đa từng nội dung chính sách trong dự thảo Nghị định, cấp có thẩm quyền sẽ quyết định phê duyệt từng liên kết đảm bảo phù hợp với thực tiễn.</w:t>
            </w:r>
            <w:r>
              <w:rPr>
                <w:rFonts w:hint="default" w:ascii="Times New Roman" w:hAnsi="Times New Roman" w:cs="Times New Roman"/>
                <w:sz w:val="26"/>
                <w:szCs w:val="26"/>
                <w:lang w:val="vi-VN"/>
              </w:rPr>
              <w:t xml:space="preserve"> </w:t>
            </w:r>
          </w:p>
          <w:p w14:paraId="62E8423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Quy định mức hỗ trợ tối thiểu (mức sàn) và có cơ chế điều tiết ngân sách trung ương hỗ trợ có mục tiêu cho các địa phương khó khăn, để tránh mỗi địa phương một định mức, nhất là đối với địa phương nguồn lực còn hạn chế. Quy định cụ thể chính sách hỗ trợ bảo đảm thực hiện liên kết đối với vùng nguyên liệu quy mô lớn để bảo đảm liên kết hiệu quả, thiết thực.</w:t>
            </w:r>
          </w:p>
          <w:p w14:paraId="15FA72A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Tại chương III đề nghị quy định khung mức hỗ trợ cụ thể theo từng nội dung để địa phương thuận lợi trong triển khai, tránh tình trạng khó áp dụng hoặc không đồng đều giữa các địa phương</w:t>
            </w:r>
            <w:r>
              <w:rPr>
                <w:rFonts w:hint="default" w:ascii="Times New Roman" w:hAnsi="Times New Roman" w:cs="Times New Roman"/>
                <w:sz w:val="26"/>
                <w:szCs w:val="26"/>
                <w:lang w:val="en-US"/>
              </w:rPr>
              <w:t>.</w:t>
            </w:r>
          </w:p>
        </w:tc>
        <w:tc>
          <w:tcPr>
            <w:tcW w:w="4567" w:type="dxa"/>
          </w:tcPr>
          <w:p w14:paraId="5D1F9FF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ý kiến góp ý, cơ quan soạn thảo sẽ rà soát, hoàn thiện Chương III theo hướng quy định cụ thể hơn khung mức hỗ trợ hoặc mức trần hỗ trợ đối với từng nhóm nội dung chính sách chủ yếu, nhất là các nội dung có tính phổ biến, dễ lượng hóa như: tư vấn phát triển liên kết; đào tạo, tập huấn; hỗ trợ giống, vật tư; truy xuất nguồn gốc; bao bì, thương hiệu; chuyển đổi số; hỗ trợ ứng dụng khoa học công nghệ; xúc tiến thương mại; hỗ trợ quản trị rủi ro và một số hạ tầng dùng chung thiết yếu.</w:t>
            </w:r>
          </w:p>
          <w:p w14:paraId="3DCEF35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Không tiếp thu đề nghị bỏ nội dung phân cấp “Mức kinh phí hỗ trợ cụ thể thực hiện từng chính sách do bộ, cơ quan trung ương, Hội đồng nhân dân các cấp xem xét, quyết định…”: Lí do, việc cho phép HĐND, UBND cấp có thẩm quyền quyết định mức hỗ trợ cụ thể là phù hợp với nguyên tắc phân cấp, phân quyền trong quản lý ngân sách nhà nước, đầu tư công và tổ chức chính quyền địa phương.</w:t>
            </w:r>
          </w:p>
          <w:p w14:paraId="1ECBBB1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Không tiếp thu quy định mức hỗ trợ tối thiểu: Việc quy định mức hỗ trợ tối thiểu (mức sàn) áp dụng thống nhất trên phạm vi toàn quốc sẽ làm giảm tính chủ động, linh hoạt của địa phương trong bố trí ngân sách, đồng thời chưa hoàn toàn phù hợp với nguyên tắc phân cấp ngân sách nhà nước và đặc điểm đa dạng về quy mô, ngành hàng, chi phí thực hiện giữa các vùng miền.</w:t>
            </w:r>
          </w:p>
        </w:tc>
      </w:tr>
      <w:tr w14:paraId="37C5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1161A76F">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restart"/>
          </w:tcPr>
          <w:p w14:paraId="2608FC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 xml:space="preserve"> </w:t>
            </w:r>
          </w:p>
        </w:tc>
        <w:tc>
          <w:tcPr>
            <w:tcW w:w="1898" w:type="dxa"/>
          </w:tcPr>
          <w:p w14:paraId="41D1EF1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Cục </w:t>
            </w:r>
            <w:r>
              <w:rPr>
                <w:rFonts w:hint="default" w:ascii="Times New Roman" w:hAnsi="Times New Roman" w:cs="Times New Roman"/>
                <w:sz w:val="26"/>
                <w:szCs w:val="26"/>
                <w:lang w:val="en-US"/>
              </w:rPr>
              <w:t>T</w:t>
            </w:r>
            <w:r>
              <w:rPr>
                <w:rFonts w:hint="default" w:ascii="Times New Roman" w:hAnsi="Times New Roman" w:cs="Times New Roman"/>
                <w:sz w:val="26"/>
                <w:szCs w:val="26"/>
                <w:lang w:val="vi-VN"/>
              </w:rPr>
              <w:t>hủy sản và Kiểm ngư</w:t>
            </w:r>
          </w:p>
        </w:tc>
        <w:tc>
          <w:tcPr>
            <w:tcW w:w="5475" w:type="dxa"/>
          </w:tcPr>
          <w:p w14:paraId="2DCEC77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Đ</w:t>
            </w:r>
            <w:r>
              <w:rPr>
                <w:rFonts w:hint="default" w:ascii="Times New Roman" w:hAnsi="Times New Roman" w:cs="Times New Roman"/>
                <w:sz w:val="26"/>
                <w:szCs w:val="26"/>
              </w:rPr>
              <w:t xml:space="preserve">ề nghị bổ sung cụm từ </w:t>
            </w:r>
            <w:r>
              <w:rPr>
                <w:rFonts w:hint="default" w:ascii="Times New Roman" w:hAnsi="Times New Roman" w:cs="Times New Roman"/>
                <w:i/>
                <w:iCs/>
                <w:sz w:val="26"/>
                <w:szCs w:val="26"/>
              </w:rPr>
              <w:t>“Nông nghiệp bền vững”</w:t>
            </w:r>
            <w:r>
              <w:rPr>
                <w:rFonts w:hint="default" w:ascii="Times New Roman" w:hAnsi="Times New Roman" w:cs="Times New Roman"/>
                <w:sz w:val="26"/>
                <w:szCs w:val="26"/>
              </w:rPr>
              <w:t xml:space="preserve"> để thống nhất với tên nội dung của Nghị định.</w:t>
            </w:r>
          </w:p>
        </w:tc>
        <w:tc>
          <w:tcPr>
            <w:tcW w:w="4567" w:type="dxa"/>
            <w:vMerge w:val="restart"/>
          </w:tcPr>
          <w:p w14:paraId="70C7B05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2E01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440FC5C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2C22881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tcPr>
          <w:p w14:paraId="43CC4B7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Cục </w:t>
            </w:r>
            <w:r>
              <w:rPr>
                <w:rFonts w:hint="default" w:ascii="Times New Roman" w:hAnsi="Times New Roman" w:cs="Times New Roman"/>
                <w:sz w:val="26"/>
                <w:szCs w:val="26"/>
                <w:lang w:val="en-US"/>
              </w:rPr>
              <w:t>C</w:t>
            </w:r>
            <w:r>
              <w:rPr>
                <w:rFonts w:hint="default" w:ascii="Times New Roman" w:hAnsi="Times New Roman" w:cs="Times New Roman"/>
                <w:sz w:val="26"/>
                <w:szCs w:val="26"/>
                <w:lang w:val="vi-VN"/>
              </w:rPr>
              <w:t>huyển đổi số</w:t>
            </w:r>
          </w:p>
        </w:tc>
        <w:tc>
          <w:tcPr>
            <w:tcW w:w="5475" w:type="dxa"/>
          </w:tcPr>
          <w:p w14:paraId="0F784EB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nghiên cứu, xem xét đổi tên Chương III thành “Chính sách hỗ trợ phát triển liên kết chuỗi giá trị” nhằm đồng bộ, thống nhất với nội dung của các điều tại chương này.</w:t>
            </w:r>
          </w:p>
        </w:tc>
        <w:tc>
          <w:tcPr>
            <w:tcW w:w="4567" w:type="dxa"/>
            <w:vMerge w:val="continue"/>
          </w:tcPr>
          <w:p w14:paraId="1571136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030E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11E6930">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46B62C0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lang w:val="vi-VN"/>
              </w:rPr>
              <w:t xml:space="preserve">Điều 10. </w:t>
            </w:r>
            <w:r>
              <w:rPr>
                <w:rFonts w:hint="default" w:ascii="Times New Roman" w:hAnsi="Times New Roman" w:cs="Times New Roman"/>
                <w:b/>
                <w:bCs/>
                <w:sz w:val="26"/>
                <w:szCs w:val="26"/>
              </w:rPr>
              <w:t>Nguyên tắc hỗ trợ</w:t>
            </w:r>
          </w:p>
        </w:tc>
        <w:tc>
          <w:tcPr>
            <w:tcW w:w="1898" w:type="dxa"/>
          </w:tcPr>
          <w:p w14:paraId="55C30CD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5475" w:type="dxa"/>
          </w:tcPr>
          <w:p w14:paraId="36D04BD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6FFAC96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5922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8B22543">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74B8D5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p>
        </w:tc>
        <w:tc>
          <w:tcPr>
            <w:tcW w:w="1898" w:type="dxa"/>
          </w:tcPr>
          <w:p w14:paraId="41DFD6E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UBND tỉnh Quảng Ninh</w:t>
            </w:r>
          </w:p>
        </w:tc>
        <w:tc>
          <w:tcPr>
            <w:tcW w:w="5475" w:type="dxa"/>
          </w:tcPr>
          <w:p w14:paraId="7EBC09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Dự thảo Nghị định có quy định về điều kiện khá cao và chặt chẽ như: Có hợp đồng chặt chẽ, có tiêu chuẩn chất lượng, có vùng nguyên liệu, có cơ chế chia sẻ rủi ro,… Điều này phù hợp về định hướng nhưng khó áp dụng đối với các địa phương có sản xuất nông nghiệp nhỏ lẻ, phân tán như tỉnh Quảng Ninh. Đề nghị cơ quan soạn thảo xem xét, quy định điều kiện theo hướng phân cấp, có lộ trình, giai đoạn cụ thể như: liên kết cơ bản, liên kết nâng cao, chuỗi giá trị hoàn chỉnh để đảm bảo tính khả thi và linh hoạt của chính sách khi triển khai đồng bộ tại các địa phương.</w:t>
            </w:r>
          </w:p>
        </w:tc>
        <w:tc>
          <w:tcPr>
            <w:tcW w:w="4567" w:type="dxa"/>
          </w:tcPr>
          <w:p w14:paraId="64ADEF5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Điều 3 dự thảo, các nội dung như tiêu chuẩn chất lượng, truy xuất nguồn gốc, vùng nguyên liệu, chia sẻ rủi ro, chuyển đổi số, giảm phát thải… được xác định là các nội dung khuyến khích áp dụng theo mức độ phù hợp, thay vì là điều kiện bắt buộc đồng thời đối với mọi liên kết như trước đây. Điều này tạo điều kiện để các mô hình liên kết từng bước phát triển từ quy mô nhỏ, liên kết đơn giản đến chuỗi giá trị hoàn chỉnh theo nhu cầu thị trường và năng lực của chủ thể.</w:t>
            </w:r>
          </w:p>
        </w:tc>
      </w:tr>
      <w:tr w14:paraId="7CD1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2551877">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tcPr>
          <w:p w14:paraId="67CD371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tcPr>
          <w:p w14:paraId="47D029E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Văn phòng Quốc gia về giảm nghèo</w:t>
            </w:r>
          </w:p>
        </w:tc>
        <w:tc>
          <w:tcPr>
            <w:tcW w:w="5475" w:type="dxa"/>
          </w:tcPr>
          <w:p w14:paraId="6CB4CF9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Đề nghị xem xét đối với nguyên tắc hỗ trợ quy định tại Điều 10: Đề nghị bổ sung quy định mức hỗ trợ tối thiểu đối với một số nội dung chủ yếu, bổ sung tiêu chí ưu tiên hỗ trợ đối với vùng khó khăn, vùng dân tộc thiểu số, vùng thường xuyên chịu ảnh hưởng thiên tai. </w:t>
            </w:r>
          </w:p>
        </w:tc>
        <w:tc>
          <w:tcPr>
            <w:tcW w:w="4567" w:type="dxa"/>
          </w:tcPr>
          <w:p w14:paraId="1BE3C02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Tiếp thu. B</w:t>
            </w:r>
            <w:r>
              <w:rPr>
                <w:rFonts w:hint="default" w:ascii="Times New Roman" w:hAnsi="Times New Roman" w:cs="Times New Roman"/>
                <w:sz w:val="26"/>
                <w:szCs w:val="26"/>
                <w:lang w:val="vi-VN"/>
              </w:rPr>
              <w:t>ổ sung nguyên tắc ưu tiên hỗ trợ trong Điều 10 đối với: (i) địa bàn miền núi, biên giới, hải đảo; (ii) vùng đồng bào dân tộc thiểu số; (iii) vùng thường xuyên chịu ảnh hưởng của thiên tai, biến đổi khí hậu; (iv) địa bàn khó khăn, đặc biệt khó khăn; và (v) dự án liên kết đối với sản phẩm nông nghiệp chủ lực quốc gia, sản phẩm chủ lực của địa phương, vùng nguyên liệu quy mô lớn.</w:t>
            </w:r>
          </w:p>
        </w:tc>
      </w:tr>
      <w:tr w14:paraId="0B9A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27769B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90273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2E121D1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Sở Nông nghiệp và Môi trường tỉnh Hà Tĩnh</w:t>
            </w:r>
          </w:p>
        </w:tc>
        <w:tc>
          <w:tcPr>
            <w:tcW w:w="5475" w:type="dxa"/>
          </w:tcPr>
          <w:p w14:paraId="07F20F8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Tại Điều 10: Đề nghị xem xét gộp khoản 4 Điều 16 vào khoản 1 Điều 10. Đồng thời bổ sung các nguyên tắc về nghiệm thu, tiến độ giải ngân nguồn ngân sách nhà nước hỗ trợ (nghiệm thu giai đoạn hay nghiệm thu sau khi hoàn thành kế hoạch liên kết) vì một số nội dung của kế hoạch liên kết thực hiện theo tiến độ từng năm, giai đoạn.</w:t>
            </w:r>
          </w:p>
        </w:tc>
        <w:tc>
          <w:tcPr>
            <w:tcW w:w="4567" w:type="dxa"/>
          </w:tcPr>
          <w:p w14:paraId="6C4AC5F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bổ sung vào Khoản 7, Điều 10.</w:t>
            </w:r>
          </w:p>
        </w:tc>
      </w:tr>
      <w:tr w14:paraId="399D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A92AF9B">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4867AD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4C7E433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Khoa học và Công nghệ</w:t>
            </w:r>
          </w:p>
        </w:tc>
        <w:tc>
          <w:tcPr>
            <w:tcW w:w="5475" w:type="dxa"/>
          </w:tcPr>
          <w:p w14:paraId="22E5D4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Đề nghị</w:t>
            </w:r>
            <w:r>
              <w:rPr>
                <w:rFonts w:hint="default" w:ascii="Times New Roman" w:hAnsi="Times New Roman" w:cs="Times New Roman"/>
                <w:sz w:val="26"/>
                <w:szCs w:val="26"/>
              </w:rPr>
              <w:t xml:space="preserve"> bổ sung như sau: “Việc hỗ trợ chuyển giao công nghệ phải được gắn với các chỉ số đo lường cụ thể KPI về tăng năng suất lao động, giảm chi phí sản xuất, giảm tổn thất sau thu hoạch, giảm phát thải khí nhà kính… Việc hỗ trợ chỉ được giải ngân theo tiến độ đạt KPI và áp dụng cơ chế thu hồi toàn bộ hoặc một phần kinh phí hỗ trợ nếu không đạt KPI sau thời hạn 12 - 24 tháng (trừ trường hợp bất khả kháng theo quy định của pháp luật)”</w:t>
            </w:r>
            <w:r>
              <w:rPr>
                <w:rFonts w:hint="default" w:ascii="Times New Roman" w:hAnsi="Times New Roman" w:cs="Times New Roman"/>
                <w:sz w:val="26"/>
                <w:szCs w:val="26"/>
                <w:lang w:val="en-US"/>
              </w:rPr>
              <w:t>.</w:t>
            </w:r>
          </w:p>
        </w:tc>
        <w:tc>
          <w:tcPr>
            <w:tcW w:w="4567" w:type="dxa"/>
          </w:tcPr>
          <w:p w14:paraId="1671E97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Không cần thiết. Lí do, </w:t>
            </w:r>
            <w:r>
              <w:rPr>
                <w:rFonts w:hint="default" w:ascii="Times New Roman" w:hAnsi="Times New Roman" w:cs="Times New Roman"/>
                <w:sz w:val="26"/>
                <w:szCs w:val="26"/>
              </w:rPr>
              <w:t>việc quy định cứng bắt buộc áp dụng KPI thống nhất và thời hạn thu hồi từ 12</w:t>
            </w:r>
            <w:r>
              <w:rPr>
                <w:rFonts w:hint="default" w:ascii="Times New Roman" w:hAnsi="Times New Roman" w:cs="Times New Roman"/>
                <w:sz w:val="26"/>
                <w:szCs w:val="26"/>
                <w:lang w:val="en-US"/>
              </w:rPr>
              <w:t>-</w:t>
            </w:r>
            <w:r>
              <w:rPr>
                <w:rFonts w:hint="default" w:ascii="Times New Roman" w:hAnsi="Times New Roman" w:cs="Times New Roman"/>
                <w:sz w:val="26"/>
                <w:szCs w:val="26"/>
              </w:rPr>
              <w:t>24 tháng đối với mọi dự án liên kết có thể chưa phù hợp với tính đa dạng của ngành hàng, chu kỳ sản xuất và rủi ro khách quan trong nông nghiệp.</w:t>
            </w:r>
          </w:p>
          <w:p w14:paraId="660A70F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Mặt khác, v</w:t>
            </w:r>
            <w:r>
              <w:rPr>
                <w:rFonts w:hint="default" w:ascii="Times New Roman" w:hAnsi="Times New Roman" w:cs="Times New Roman"/>
                <w:sz w:val="26"/>
                <w:szCs w:val="26"/>
              </w:rPr>
              <w:t>iệc nghiệm thu, giải ngân hoặc thu hồi hỗ trợ được thực hiện theo quyết định phê duyệt dự án liên kết và quy định của pháp luật về ngân sách, đầu tư công, trường hợp không đạt mục tiêu do nguyên nhân chủ quan hoặc vi phạm cam kết thì xem xét thu hồi một phần hoặc toàn bộ kinh phí hỗ trợ theo quy định.</w:t>
            </w:r>
          </w:p>
        </w:tc>
      </w:tr>
      <w:tr w14:paraId="1AB9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C14655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581AFF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6B48C1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Thái Nguyên; Tuyên Quang</w:t>
            </w:r>
          </w:p>
        </w:tc>
        <w:tc>
          <w:tcPr>
            <w:tcW w:w="5475" w:type="dxa"/>
          </w:tcPr>
          <w:p w14:paraId="613C76A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bổ sung khoản 7 như sau: "7. Ưu tiên hỗ trợ các kế hoạch liên kết thực hiện đối với các sản phẩm nông nghiệp thuộc danh mục sản phẩm nông nghiệp chủ lực quốc gia hoặc danh mục sản phẩm nông nghiệp chủ lực của tỉnh."</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bổ sung quy định mức hỗ trợ tối thiểu đối với một số nội dung chủ yếu, bổ sung tiêu chí ưu tiên hỗ trợ đối với vùng khó khăn, vùng dân tộc thiểu số, vùng thường xuyên chịu ảnh hưởng thiên tai.</w:t>
            </w:r>
          </w:p>
        </w:tc>
        <w:tc>
          <w:tcPr>
            <w:tcW w:w="4567" w:type="dxa"/>
          </w:tcPr>
          <w:p w14:paraId="67A0B12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bổ sung tại Điểm b, Khoản 4, Điều 10.</w:t>
            </w:r>
          </w:p>
        </w:tc>
      </w:tr>
      <w:tr w14:paraId="1493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6766FF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4DFC784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51D44FF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Cục Lâm nghiệp và Kiểm lâm</w:t>
            </w:r>
          </w:p>
        </w:tc>
        <w:tc>
          <w:tcPr>
            <w:tcW w:w="5475" w:type="dxa"/>
          </w:tcPr>
          <w:p w14:paraId="162EC0B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Ưu tiên hỗ trợ sản phẩm chủ lực và vùng nguyên liệu quy mô lớn, tránh dàn trải.</w:t>
            </w:r>
          </w:p>
        </w:tc>
        <w:tc>
          <w:tcPr>
            <w:tcW w:w="4567" w:type="dxa"/>
          </w:tcPr>
          <w:p w14:paraId="6F7BC6F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Bổ sung nguyên tắc ưu tiên hỗ trợ đối với sản phẩm chủ lực và vùng nguyên liệu tập trung quy mô lớn.</w:t>
            </w:r>
          </w:p>
        </w:tc>
      </w:tr>
      <w:tr w14:paraId="2AD7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5B5551B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74AB24C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64AE179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Cà Mau</w:t>
            </w:r>
          </w:p>
        </w:tc>
        <w:tc>
          <w:tcPr>
            <w:tcW w:w="5475" w:type="dxa"/>
          </w:tcPr>
          <w:p w14:paraId="361CBA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 xml:space="preserve">ề nghị đơn vị soạn thảo nghiên cứu xem bổ sung thêm một (02) khoản như sau: </w:t>
            </w:r>
          </w:p>
          <w:p w14:paraId="32D0944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Một (01) khoản quy định cụ thể về phương thức hỗ trợ (trước đầu tư hoặc sau đầu tư) để thuận tiện trong quá trình tổ chức thực hiện tại các địa phương. </w:t>
            </w:r>
          </w:p>
          <w:p w14:paraId="05CCED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Một (01) khoản quy định thời gian thực hiện liên kết tối thiểu cụ thể nhưng phải bằng hoặc lớn hơn 03 vụ hoặc 03 chu kỳ sản xuất, để tránh trường hợp xây dựng Kế hoạch liên kết ngắn hạn để thụ hưởng chính sách, rồi sau đó không thực hiện liên kết nữa.</w:t>
            </w:r>
          </w:p>
        </w:tc>
        <w:tc>
          <w:tcPr>
            <w:tcW w:w="4567" w:type="dxa"/>
          </w:tcPr>
          <w:p w14:paraId="21ADFD3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bổ sung tại Khoản 7, 8 Điều 10.</w:t>
            </w:r>
          </w:p>
        </w:tc>
      </w:tr>
      <w:tr w14:paraId="3AC40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39254E4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6738EDB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0E04128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Thủy sản và kiểm ngư</w:t>
            </w:r>
          </w:p>
        </w:tc>
        <w:tc>
          <w:tcPr>
            <w:tcW w:w="5475" w:type="dxa"/>
          </w:tcPr>
          <w:p w14:paraId="4D47430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Tại Điều 10: Về nguyên tắc hỗ trợ</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Đề nghị tách khoản 1 và khoản 2 và sắp xếp lại như sau: </w:t>
            </w:r>
            <w:r>
              <w:rPr>
                <w:rFonts w:hint="default" w:ascii="Times New Roman" w:hAnsi="Times New Roman" w:cs="Times New Roman"/>
                <w:i/>
                <w:iCs/>
                <w:sz w:val="26"/>
                <w:szCs w:val="26"/>
              </w:rPr>
              <w:t>“1. Việc hỗ trợ được thực hiện theo nội dung liên kết và tương ứng với vai trò, trách nhiệm của từng chủ thể tham gia trong chuỗi giá trị. Mỗi bên tham gia liên kết được hưởng chính sách ưu đãi, hỗ trợ mà bên đó thực hiện theo thỏa thuận trong hợp đồng, kế hoạch liên kết. 2. Cơ quan nhà nước có thẩm quyền căn cứ vào các nội dung liên kết theo hợp đồng, kế hoạch liên kết để quyết định hỗ trợ theo quy định tại Nghị định này. 3. Chỉ xem xét hỗ trợ đối với Kế hoạch liên kết được cơ quan có thẩm quyền phê duyệt theo quy định của Nghị định này”</w:t>
            </w:r>
            <w:r>
              <w:rPr>
                <w:rFonts w:hint="default" w:ascii="Times New Roman" w:hAnsi="Times New Roman" w:cs="Times New Roman"/>
                <w:sz w:val="26"/>
                <w:szCs w:val="26"/>
              </w:rPr>
              <w:t>. Lý do: Mỗi khoản chỉ nên nêu 01 nội dung nhằm phù hợp với các nguyên tắc xem xét trong quá trình tổ chức triển khai thực hiện.</w:t>
            </w:r>
          </w:p>
        </w:tc>
        <w:tc>
          <w:tcPr>
            <w:tcW w:w="4567" w:type="dxa"/>
          </w:tcPr>
          <w:p w14:paraId="41E2F45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Tiếp thu. Đã </w:t>
            </w:r>
            <w:r>
              <w:rPr>
                <w:rFonts w:hint="default" w:ascii="Times New Roman" w:hAnsi="Times New Roman" w:cs="Times New Roman"/>
                <w:sz w:val="26"/>
                <w:szCs w:val="26"/>
              </w:rPr>
              <w:t>cơ cấu lại Điều 10 theo hướng mỗi khoản quy định một nhóm nguyên tắc riêng biệt nhằm bảo đảm rõ ràng, thuận lợi trong áp dụng và kiểm tra, giám sát thực hiện.</w:t>
            </w:r>
          </w:p>
        </w:tc>
      </w:tr>
      <w:tr w14:paraId="024C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781" w:type="dxa"/>
          </w:tcPr>
          <w:p w14:paraId="722970A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AD462F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1. Kế hoạch liên kết đề nghị hỗ trợ phải được cơ quan có thẩm quyền phê duyệt theo quy định của Nghị định này. Cơ quan nhà nước có thẩm quyền căn cứ vào các nội dung liên kết theo hợp đồng, kế hoạch liên kết để quyết định hỗ trợ theo quy định tại Nghị định này.</w:t>
            </w:r>
          </w:p>
        </w:tc>
        <w:tc>
          <w:tcPr>
            <w:tcW w:w="1898" w:type="dxa"/>
          </w:tcPr>
          <w:p w14:paraId="0D0D38A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Đồng Tháp</w:t>
            </w:r>
          </w:p>
        </w:tc>
        <w:tc>
          <w:tcPr>
            <w:tcW w:w="5475" w:type="dxa"/>
          </w:tcPr>
          <w:p w14:paraId="0ADF60E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khoản 1 Điều 10 của dự thảo Nghị định nêu "....Cơ quan nhà nước có thẩm quyền căn cứ vào các nội dung liên kết theo hợp đồng, kế hoạch liên kết để quyết định hỗ trợ theo quy định tại Nghị định này" và tại khoản 3 Điều 10 của dự thảo Nghị định nêu "Không áp dụng chính sách hỗ trợ đối với các hoạt động mua bán sản phẩm nông nghiệp không gắn với tổ chức sản xuất và liên kết chuỗi giá</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trị theo quy định của Nghị định này" đề nghị quy định cụ thể theo quy định tại điểm, khoản Điều nào của Nghị định để địa phương dễ thực hiện.</w:t>
            </w:r>
          </w:p>
        </w:tc>
        <w:tc>
          <w:tcPr>
            <w:tcW w:w="4567" w:type="dxa"/>
          </w:tcPr>
          <w:p w14:paraId="28B6A7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bổ sung tại KHoản 1, Khoản 3 Điều 10.</w:t>
            </w:r>
          </w:p>
        </w:tc>
      </w:tr>
      <w:tr w14:paraId="005E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76DAF7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45F1980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3. Không áp dụng chính sách hỗ trợ đối với các hoạt động mua bán sản phẩm nông nghiệp không gắn với tổ chức sản xuất và liên kết chuỗi giá trị theo quy định của Nghị định này.</w:t>
            </w:r>
          </w:p>
        </w:tc>
        <w:tc>
          <w:tcPr>
            <w:tcW w:w="1898" w:type="dxa"/>
          </w:tcPr>
          <w:p w14:paraId="60618A0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Viện Chiến lược, Chính sách nông nghiệp và môi trường</w:t>
            </w:r>
          </w:p>
        </w:tc>
        <w:tc>
          <w:tcPr>
            <w:tcW w:w="5475" w:type="dxa"/>
          </w:tcPr>
          <w:p w14:paraId="18F8E75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Dự thảo quy định không hỗ trợ hoạt động mua bán sản phẩm nông nghiệp không gắn với tổ chức sản xuất và liên kết chuỗi giá trị là cần thiết. Tuy nhiên, cần thể hiện theo hướng không loại trừ vai trò của tác nhân thu gom, thương mại trung gian nếu họ tham gia hợp đồng liên kết có tổ chức, có tiêu chuẩn chất lượng, truy xuất nguồn gốc và trách nhiệm với vùng nguyên liệu.</w:t>
            </w:r>
          </w:p>
        </w:tc>
        <w:tc>
          <w:tcPr>
            <w:tcW w:w="4567" w:type="dxa"/>
          </w:tcPr>
          <w:p w14:paraId="1FCFC24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Không tiếp thu. V</w:t>
            </w:r>
            <w:r>
              <w:rPr>
                <w:rFonts w:hint="default" w:ascii="Times New Roman" w:hAnsi="Times New Roman" w:cs="Times New Roman"/>
                <w:sz w:val="26"/>
                <w:szCs w:val="26"/>
              </w:rPr>
              <w:t>ẫn cần giữ nguyên nguyên tắc không hỗ trợ đối với hoạt động mua bán nông sản đơn thuần mang tính thương mại, không gắn với tổ chức sản xuất, tiêu chuẩn chất lượng, truy xuất nguồn gốc hoặc trách nhiệm liên kết chuỗi giá trị, nhằm tránh lợi dụng chính sách để hỗ trợ cho hoạt động kinh doanh thuần túy, không tạo giá trị gia tăng hoặc không góp phần phát triển vùng nguyên liệu, nâng cao tính bền vững của liên kết.</w:t>
            </w:r>
          </w:p>
        </w:tc>
      </w:tr>
      <w:tr w14:paraId="30A1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8373F1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2A7D6CB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4. Trường hợp cùng một thời điểm, nội dung có nhiều chính sách ưu đãi, hỗ trợ khác nhau (kể cả từ các chương trình, dự án khác), đối tượng thụ hưởng được lựa chọn áp dụng chính sách ưu đãi, hỗ trợ có lợi nhất.</w:t>
            </w:r>
          </w:p>
        </w:tc>
        <w:tc>
          <w:tcPr>
            <w:tcW w:w="1898" w:type="dxa"/>
          </w:tcPr>
          <w:p w14:paraId="28C17EC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tỉnh Vĩnh Long</w:t>
            </w:r>
          </w:p>
        </w:tc>
        <w:tc>
          <w:tcPr>
            <w:tcW w:w="5475" w:type="dxa"/>
          </w:tcPr>
          <w:p w14:paraId="222881C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Đề nghị</w:t>
            </w:r>
            <w:r>
              <w:rPr>
                <w:rFonts w:hint="default" w:ascii="Times New Roman" w:hAnsi="Times New Roman" w:cs="Times New Roman"/>
                <w:sz w:val="26"/>
                <w:szCs w:val="26"/>
              </w:rPr>
              <w:t xml:space="preserve"> sửa đổi như sau: “Trường hợp cùng một nội dung hỗ trợ, cùng một đối tượng thụ hưởng và trong cùng thời điểm có nhiều chính sách khác nhau, đối tượng thụ hưởng được lựa chọn áp dụng một chính sách hỗ trợ. Việc lựa chọn căn cứ vào mức hỗ trợ cao nhất hoặc điều kiện áp dụng phù hợp nhất”.</w:t>
            </w:r>
          </w:p>
        </w:tc>
        <w:tc>
          <w:tcPr>
            <w:tcW w:w="4567" w:type="dxa"/>
            <w:shd w:val="clear" w:color="auto" w:fill="auto"/>
            <w:vAlign w:val="top"/>
          </w:tcPr>
          <w:p w14:paraId="0706F2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en-US"/>
              </w:rPr>
              <w:t>Tiếp thu. Đã chỉnh sửa lại tại Khoản 5 Điều 10.</w:t>
            </w:r>
          </w:p>
        </w:tc>
      </w:tr>
      <w:tr w14:paraId="472E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B7B33B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07CACA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09F972F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Nội vụ; Bộ Tư pháp</w:t>
            </w:r>
          </w:p>
        </w:tc>
        <w:tc>
          <w:tcPr>
            <w:tcW w:w="5475" w:type="dxa"/>
          </w:tcPr>
          <w:p w14:paraId="41BB58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Nguyên tắc hỗ trợ tại khoản 4 và khoản 5 Điều 10 dự thảo Nghị định chưa thống nhất (khoản 4 quy định: "Trường hợp cùng một thời điểm, nội dung có nhiều chính sách ưu đãi, hỗ trợ khác nhau (kể cả từ các chương trình, dự án khác), đối tượng thụ hưởng được lựa chọn áp dụng chính sách ưu đãi, hỗ trợ có lợi nhất”; trong khi đó, khoản 5 quy định: "Trong một (01) Kế hoạch liên kết, chủ trì liên kết và các bên tham gia liên kết được có thể được hưởng đồng thời nhiều nội dung hỗ trợ hác nhau từ nhiều chương trình, chính sách, nguồn vốn khác nhau... "). Đề nghị cơ quan chủ trì nghiên cứu, làm rõ mối quan hệ giữa hai quy định này, tránh phát sinh vướng mắc trong áp dụng pháp luật, để tránh mâu thuẫn, bảo đảm tính thống nhất giữa các nguyên tắc.</w:t>
            </w:r>
          </w:p>
        </w:tc>
        <w:tc>
          <w:tcPr>
            <w:tcW w:w="4567" w:type="dxa"/>
          </w:tcPr>
          <w:p w14:paraId="4B383AA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chỉnh sửa lại tại Khoản 5, 6 Điều 10.</w:t>
            </w:r>
          </w:p>
        </w:tc>
      </w:tr>
      <w:tr w14:paraId="7D4C0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FCCD70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060D6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7E0EA24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Sở Nông nghiệp và Môi trường tỉnh Quảng Ninh</w:t>
            </w:r>
          </w:p>
        </w:tc>
        <w:tc>
          <w:tcPr>
            <w:tcW w:w="5475" w:type="dxa"/>
          </w:tcPr>
          <w:p w14:paraId="673A70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Đề nghị gộp nội dung tại khoản 4 và khoản 5, Điều 10 (Nguyên tắc hỗ trợ) để làm rõ và thống nhất nội dung đối tượng thụ hưởng chính sách hỗ trợ:</w:t>
            </w:r>
          </w:p>
          <w:p w14:paraId="127495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i/>
                <w:sz w:val="26"/>
                <w:szCs w:val="26"/>
              </w:rPr>
            </w:pPr>
            <w:r>
              <w:rPr>
                <w:rFonts w:hint="default" w:ascii="Times New Roman" w:hAnsi="Times New Roman" w:cs="Times New Roman"/>
                <w:sz w:val="26"/>
                <w:szCs w:val="26"/>
              </w:rPr>
              <w:t>Đề nghị xem xét, bổ sung nội dung về điều kiện tham gia chuỗi giá trị nông nghiệp của đơn vị chủ trì liên kết, thành viên tham gia chuỗi. Nguyên nhân là do để có cơ sở thu hút và xây dựng chuỗi giá trị nông nghiệp cần thiết có quy định về điều kiện dành cho đơn vị/tổ chức/cá nhân chủ trì liên kết chuỗi và các thành viên khi tham gia chuỗi.</w:t>
            </w:r>
          </w:p>
        </w:tc>
        <w:tc>
          <w:tcPr>
            <w:tcW w:w="4567" w:type="dxa"/>
          </w:tcPr>
          <w:p w14:paraId="1D87C98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D</w:t>
            </w:r>
            <w:r>
              <w:rPr>
                <w:rFonts w:hint="default" w:ascii="Times New Roman" w:hAnsi="Times New Roman" w:cs="Times New Roman"/>
                <w:sz w:val="26"/>
                <w:szCs w:val="26"/>
              </w:rPr>
              <w:t>ự thảo Nghị định đã bước đầu quy định các điều kiện nền tảng thông qua Điều 3 (khái niệm liên kết chuỗi giá trị), Điều 6 (hợp đồng liên kết), Điều 8 (dự án liên kết) và Điều 16 (hồ sơ, thẩm định, phê duyệt dự án liên kết), trong đó yêu cầu phải có hợp đồng</w:t>
            </w:r>
            <w:r>
              <w:rPr>
                <w:rFonts w:hint="default" w:ascii="Times New Roman" w:hAnsi="Times New Roman" w:cs="Times New Roman"/>
                <w:sz w:val="26"/>
                <w:szCs w:val="26"/>
                <w:lang w:val="en-US"/>
              </w:rPr>
              <w:t xml:space="preserve">  hoặc </w:t>
            </w:r>
            <w:r>
              <w:rPr>
                <w:rFonts w:hint="default" w:ascii="Times New Roman" w:hAnsi="Times New Roman" w:cs="Times New Roman"/>
                <w:sz w:val="26"/>
                <w:szCs w:val="26"/>
              </w:rPr>
              <w:t>thỏa thuận liên kết, xác định rõ vai trò, trách nhiệm, nội dung thực hiện, nguồn lực và cơ chế phối hợp của các bên.</w:t>
            </w:r>
          </w:p>
        </w:tc>
      </w:tr>
      <w:tr w14:paraId="56C2D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6BA2429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4AE156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 xml:space="preserve">5. Trong một (01) Kế hoạch liên kết, chủ trì liên kết và các bên tham gia liên kết được có thể được hưởng đồng thời nhiều nội dung hỗ trợ </w:t>
            </w:r>
            <w:r>
              <w:rPr>
                <w:rFonts w:hint="default" w:ascii="Times New Roman" w:hAnsi="Times New Roman" w:eastAsia="Times New Roman" w:cs="Times New Roman"/>
                <w:sz w:val="26"/>
                <w:szCs w:val="26"/>
                <w:lang w:val="vi-VN" w:eastAsia="vi-VN"/>
              </w:rPr>
              <w:t>k</w:t>
            </w:r>
            <w:r>
              <w:rPr>
                <w:rFonts w:hint="default" w:ascii="Times New Roman" w:hAnsi="Times New Roman" w:eastAsia="Times New Roman" w:cs="Times New Roman"/>
                <w:sz w:val="26"/>
                <w:szCs w:val="26"/>
                <w:lang w:eastAsia="vi-VN"/>
              </w:rPr>
              <w:t>hác nhau từ nhiều chương trình, chính sách, nguồn vốn khác nhau. Việc thực hiện hỗ trợ đối với từng nội dung cụ thể phải tuân thủ điều kiện, trình tự, thủ tục và cơ chế quản lý của chương trình, chính sách, nguồn vốn tương ứng theo quy định của pháp luật.</w:t>
            </w:r>
          </w:p>
        </w:tc>
        <w:tc>
          <w:tcPr>
            <w:tcW w:w="1898" w:type="dxa"/>
          </w:tcPr>
          <w:p w14:paraId="41D175D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Vĩnh Long; Bắc Ninh; An Giang</w:t>
            </w:r>
            <w:r>
              <w:rPr>
                <w:rFonts w:hint="default" w:ascii="Times New Roman" w:hAnsi="Times New Roman" w:cs="Times New Roman"/>
                <w:sz w:val="26"/>
                <w:szCs w:val="26"/>
              </w:rPr>
              <w:t xml:space="preserve">; Cà Mau; Lai Châu </w:t>
            </w:r>
            <w:r>
              <w:rPr>
                <w:rFonts w:hint="default" w:ascii="Times New Roman" w:hAnsi="Times New Roman" w:cs="Times New Roman"/>
                <w:sz w:val="26"/>
                <w:szCs w:val="26"/>
                <w:lang w:val="vi-VN"/>
              </w:rPr>
              <w:t>Cục Thủy sản và |Kiểm ngư</w:t>
            </w:r>
          </w:p>
        </w:tc>
        <w:tc>
          <w:tcPr>
            <w:tcW w:w="5475" w:type="dxa"/>
          </w:tcPr>
          <w:p w14:paraId="76E6078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kern w:val="0"/>
                <w:sz w:val="26"/>
                <w:szCs w:val="26"/>
                <w14:ligatures w14:val="none"/>
              </w:rPr>
            </w:pPr>
            <w:r>
              <w:rPr>
                <w:rFonts w:hint="default" w:ascii="Times New Roman" w:hAnsi="Times New Roman" w:eastAsia="Times New Roman" w:cs="Times New Roman"/>
                <w:kern w:val="0"/>
                <w:sz w:val="26"/>
                <w:szCs w:val="26"/>
                <w14:ligatures w14:val="none"/>
              </w:rPr>
              <w:t xml:space="preserve">Đề nghị đơn vị soạn thảo rà soát, chỉnh lý quy định tại Khoản 5 theo hướng lược bỏ cụm từ “…được có thể…”; bỏ </w:t>
            </w:r>
            <w:r>
              <w:rPr>
                <w:rFonts w:hint="default" w:ascii="Times New Roman" w:hAnsi="Times New Roman" w:cs="Times New Roman"/>
                <w:sz w:val="26"/>
                <w:szCs w:val="26"/>
              </w:rPr>
              <w:t>cụm từ “bên tham gia” bằng cụm từ “chủ thể liên kết” và bỏ từ “được” sau cụm từ “liên kết”.</w:t>
            </w:r>
          </w:p>
          <w:p w14:paraId="1BA21FC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eastAsia="Times New Roman" w:cs="Times New Roman"/>
                <w:kern w:val="0"/>
                <w:sz w:val="26"/>
                <w:szCs w:val="26"/>
                <w14:ligatures w14:val="none"/>
              </w:rPr>
              <w:t xml:space="preserve"> Để bảo đảm rõ ràng, thống nhất về khái niệm được nêu trong nghị định. </w:t>
            </w:r>
          </w:p>
        </w:tc>
        <w:tc>
          <w:tcPr>
            <w:tcW w:w="4567" w:type="dxa"/>
          </w:tcPr>
          <w:p w14:paraId="35AA065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w:t>
            </w:r>
          </w:p>
        </w:tc>
      </w:tr>
      <w:tr w14:paraId="0A1F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69C6EEF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FC963F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3C0C374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Thủy sản và |Kiểm ngư</w:t>
            </w:r>
          </w:p>
        </w:tc>
        <w:tc>
          <w:tcPr>
            <w:tcW w:w="5475" w:type="dxa"/>
          </w:tcPr>
          <w:p w14:paraId="61D1C70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nghiên cứu quy định bổ sung nguyên tắc: “Không hỗ trợ trùng lặp về nội dung và nguồn vốn” và nguyên tắc “Bảo đảm công khai, minh bạch trong phân bổ nguồn lực”.</w:t>
            </w:r>
          </w:p>
          <w:p w14:paraId="3BB2262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Lý do: Để tránh việc hỗ trợ trùng lặp về nội dung và nguồn vốn; đồng thời bảo đảm được tính công khai, minh bạch trong việc phân bổ nguồn lực trong chính sách phát triển liên kết chuỗi giá trị.</w:t>
            </w:r>
          </w:p>
        </w:tc>
        <w:tc>
          <w:tcPr>
            <w:tcW w:w="4567" w:type="dxa"/>
          </w:tcPr>
          <w:p w14:paraId="3C6F050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bổ sung tại Khoản 5, 6 Điều 10.</w:t>
            </w:r>
          </w:p>
        </w:tc>
      </w:tr>
      <w:tr w14:paraId="2066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6444D4D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FA5FF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5E4EFCF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TP Huế</w:t>
            </w:r>
          </w:p>
        </w:tc>
        <w:tc>
          <w:tcPr>
            <w:tcW w:w="5475" w:type="dxa"/>
          </w:tcPr>
          <w:p w14:paraId="174C985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Đ</w:t>
            </w:r>
            <w:r>
              <w:rPr>
                <w:rFonts w:hint="default" w:ascii="Times New Roman" w:hAnsi="Times New Roman" w:cs="Times New Roman"/>
                <w:sz w:val="26"/>
                <w:szCs w:val="26"/>
              </w:rPr>
              <w:t>ề nghị tổ soạn thảo bổ sung vào nguyên tắc hỗ trợ (Điều 10) là không thực hiện đấu thầu trong hỗ trợ liên kết sản xuất nông nghiệp nhằm cắt giảm các thủ tục hành chính, đẩy nhanh tiến độ giải ngân vốn ngân sách. Các dự án, kế hoạch liên kết sản xuất chuỗi giá trị trong khâu hỗ trợ giống, vật tư cần có cơ chế giao trực tiếp cho chủ trì liên kết (HTX, doanh nghiệp) cung cấp theo thỏa thuận mua bán pháp lý thay vì đấu thầu phức tạp, đảm bảo tính kịp thời của mùa vụ.</w:t>
            </w:r>
          </w:p>
        </w:tc>
        <w:tc>
          <w:tcPr>
            <w:tcW w:w="4567" w:type="dxa"/>
          </w:tcPr>
          <w:p w14:paraId="707DAD1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r>
      <w:tr w14:paraId="6DA0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1750E1E">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2AB7D6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6. Nhà nước khuyến khích các nguồn vốn hỗ trợ hợp pháp khác, bao gồm cả các nguồn vốn hợp pháp ngoài ngân sách: vốn của doanh nghiệp, hợp tác xã, tổ chức tín dụng, quỹ đầu tư và các nguồn lực xã hội khác để thúc đẩy liên kết chuỗi giá trị nông nghiệp bền vững. </w:t>
            </w:r>
          </w:p>
        </w:tc>
        <w:tc>
          <w:tcPr>
            <w:tcW w:w="1898" w:type="dxa"/>
          </w:tcPr>
          <w:p w14:paraId="77F797F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Ngân hàng Nhà nước Việt Nam</w:t>
            </w:r>
          </w:p>
        </w:tc>
        <w:tc>
          <w:tcPr>
            <w:tcW w:w="5475" w:type="dxa"/>
          </w:tcPr>
          <w:p w14:paraId="324980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Khoản 6 Điều 10 dự thảo Nghị định, đề nghị chỉnh sửa như sau:</w:t>
            </w:r>
          </w:p>
          <w:p w14:paraId="48C33CE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“Nhà nước khuyến khích các nguồn vốn hỗ trợ hợp pháp khác, bao gồm cả các nguồn vốn hợp pháp ngoài ngân sách: vốn của doanh nghiệp, hợp tác xã, tổ chức tín dụng, quỹ tài chính, quỹ bảo lãnh tín dụng, quỹ đầu tư và các nguồn lực xã hội khác để thúc đẩy hình thành chuỗi giá trị nông nghiệp bền vững theo quy định của pháp luật.”</w:t>
            </w:r>
          </w:p>
          <w:p w14:paraId="708E932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28AF717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chỉnh sửa tại Khoản 9, Điều 10</w:t>
            </w:r>
          </w:p>
        </w:tc>
      </w:tr>
      <w:tr w14:paraId="788E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7FF48E4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64028CF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eastAsia="vi-VN"/>
              </w:rPr>
            </w:pPr>
            <w:r>
              <w:rPr>
                <w:rFonts w:hint="default" w:ascii="Times New Roman" w:hAnsi="Times New Roman" w:eastAsia="Times New Roman" w:cs="Times New Roman"/>
                <w:b/>
                <w:bCs/>
                <w:sz w:val="26"/>
                <w:szCs w:val="26"/>
                <w:lang w:eastAsia="vi-VN"/>
              </w:rPr>
              <w:t>Điều 11. Chính sách hỗ trợ tư vấn phát triển liên kết</w:t>
            </w:r>
          </w:p>
        </w:tc>
        <w:tc>
          <w:tcPr>
            <w:tcW w:w="1898" w:type="dxa"/>
          </w:tcPr>
          <w:p w14:paraId="50E7881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Nông nghiệp và Môi trường tỉnh Nghệ An</w:t>
            </w:r>
          </w:p>
        </w:tc>
        <w:tc>
          <w:tcPr>
            <w:tcW w:w="5475" w:type="dxa"/>
          </w:tcPr>
          <w:p w14:paraId="289AB9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Đề nghị sửa tên nội dung thành “Điều 11. Chính sách hỗ</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trợ tư vấn </w:t>
            </w:r>
            <w:r>
              <w:rPr>
                <w:rFonts w:hint="default" w:ascii="Times New Roman" w:hAnsi="Times New Roman" w:cs="Times New Roman"/>
                <w:b/>
                <w:bCs/>
                <w:sz w:val="26"/>
                <w:szCs w:val="26"/>
                <w:lang w:val="vi-VN"/>
              </w:rPr>
              <w:t xml:space="preserve">xây dựng kế hoạch </w:t>
            </w:r>
            <w:r>
              <w:rPr>
                <w:rFonts w:hint="default" w:ascii="Times New Roman" w:hAnsi="Times New Roman" w:cs="Times New Roman"/>
                <w:sz w:val="26"/>
                <w:szCs w:val="26"/>
                <w:lang w:val="vi-VN"/>
              </w:rPr>
              <w:t>liên kết”.</w:t>
            </w:r>
          </w:p>
          <w:p w14:paraId="5D5C034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Đề nghị chỉnh sửa cụm từ “Hội đồng nhân dân các cấp” trong dự thảo</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Nghị định thành “Hội đồng nhân dân cấp tỉnh”.</w:t>
            </w:r>
          </w:p>
        </w:tc>
        <w:tc>
          <w:tcPr>
            <w:tcW w:w="4567" w:type="dxa"/>
          </w:tcPr>
          <w:p w14:paraId="2DF7052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Không tiếp thu. Lí do chính sách hỗ trợ tư vấn không chỉ hỗ trợ xây dựng dự án liên kết mà còn hỗ trợ các hoạt động khác để phát triển liên kết.</w:t>
            </w:r>
          </w:p>
          <w:p w14:paraId="4821CC5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sửa thành “Hội đồng nhân dân cấp tỉnh”.</w:t>
            </w:r>
          </w:p>
        </w:tc>
      </w:tr>
      <w:tr w14:paraId="20181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2FB5473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58794BB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405988D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Cục Thủy sản và kiểm ngư</w:t>
            </w:r>
          </w:p>
        </w:tc>
        <w:tc>
          <w:tcPr>
            <w:tcW w:w="5475" w:type="dxa"/>
          </w:tcPr>
          <w:p w14:paraId="2F3F19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Tại các Điều 11 và Điều 12: Nội dung dự thảo chỉ đề cập đến chính sách hỗ trợ đối với “chủ trì liên kết” không đề cập đến “chủ thể liên kết” khác của chuỗi. Đề nghị xem xét bỏ “chủ trì liên kết” hoặc quy định thêm chính sách đối với “chủ thể liên kết”.</w:t>
            </w:r>
          </w:p>
          <w:p w14:paraId="45E2604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Lý do: Mâu thuẫn với Khoản 2 Điều 10 của dự thảo Nghị định “2. Việc hỗ trợ được thực hiện theo nội dung liên kết và tương ứng với vai trò, trách nhiệm của từng chủ thể tham gia trong chuỗi giá trị. Mỗi bên tham gia liên kết được hưởng chính sách ưu đãi, hỗ trợ mà bên đó thực hiện theo thỏa thuận trong hợp đồng, kế hoạch liên kết).</w:t>
            </w:r>
          </w:p>
        </w:tc>
        <w:tc>
          <w:tcPr>
            <w:tcW w:w="4567" w:type="dxa"/>
          </w:tcPr>
          <w:p w14:paraId="1894D0B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Bổ sung “Chủ trì liên kết và các chủ thể tham gia liên kết”</w:t>
            </w:r>
          </w:p>
        </w:tc>
      </w:tr>
      <w:tr w14:paraId="199E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654E8CA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117678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1. Nội dung hỗ trợ: Chủ trì liên kết được nhà nước hỗ trợ 100% chi phí tư vấn để phát triển liên kết, tối đa không quá 500 triệu đồng, bao gồm nghiên cứu thị trường, phân tích nhu cầu tiêu thụ sản phẩm; xây dựng hợp đồng, kế hoạch liên kết; xây dựng phương án tổ chức sản xuất, phát triển vùng nguyên liệu; xây dựng phương án thu mua, chế biến, tiêu thụ sản phẩm, phát triển thương hiệu.</w:t>
            </w:r>
          </w:p>
        </w:tc>
        <w:tc>
          <w:tcPr>
            <w:tcW w:w="1898" w:type="dxa"/>
          </w:tcPr>
          <w:p w14:paraId="08F2CE9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An Giang</w:t>
            </w:r>
          </w:p>
        </w:tc>
        <w:tc>
          <w:tcPr>
            <w:tcW w:w="5475" w:type="dxa"/>
          </w:tcPr>
          <w:p w14:paraId="65EC2070">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bổ sung nội dung tư vấn được hỗ trợ gồm: “Xây dựng mã số vùng trồng; Chứng nhận VietGAP/GlobalGAP/hữu cơ; Hệ thống truy xuất nguồn gốc điện tử; Đánh giá và chứng nhận MRV cho tín chỉ Carbon”. Lý do: Phù hợp xu hướng thị trường hiện nay</w:t>
            </w:r>
          </w:p>
        </w:tc>
        <w:tc>
          <w:tcPr>
            <w:tcW w:w="4567" w:type="dxa"/>
          </w:tcPr>
          <w:p w14:paraId="2EA561A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Nội dung hỗ trợ này đã được quy định tại Điều 13, Điều 14</w:t>
            </w:r>
          </w:p>
        </w:tc>
      </w:tr>
      <w:tr w14:paraId="0074F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31F802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7A8483A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48BC7B6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Viện Chiến lược, Chính sách nông nghiệp và môi trường; Cục Quản lý và xây dựng công trình thủy lợi; </w:t>
            </w:r>
            <w:r>
              <w:rPr>
                <w:rFonts w:hint="default" w:ascii="Times New Roman" w:hAnsi="Times New Roman" w:cs="Times New Roman"/>
                <w:sz w:val="26"/>
                <w:szCs w:val="26"/>
                <w:lang w:val="vi-VN"/>
              </w:rPr>
              <w:t>Sở Nông nghiệp và Môi trường TP</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Hà Nội</w:t>
            </w:r>
            <w:r>
              <w:rPr>
                <w:rFonts w:hint="default" w:ascii="Times New Roman" w:hAnsi="Times New Roman" w:cs="Times New Roman"/>
                <w:sz w:val="26"/>
                <w:szCs w:val="26"/>
              </w:rPr>
              <w:t xml:space="preserve">, Cà </w:t>
            </w:r>
            <w:r>
              <w:rPr>
                <w:rFonts w:hint="default" w:ascii="Times New Roman" w:hAnsi="Times New Roman" w:cs="Times New Roman"/>
                <w:sz w:val="26"/>
                <w:szCs w:val="26"/>
                <w:lang w:val="en-US"/>
              </w:rPr>
              <w:t>M</w:t>
            </w:r>
            <w:r>
              <w:rPr>
                <w:rFonts w:hint="default" w:ascii="Times New Roman" w:hAnsi="Times New Roman" w:cs="Times New Roman"/>
                <w:sz w:val="26"/>
                <w:szCs w:val="26"/>
              </w:rPr>
              <w:t>au</w:t>
            </w:r>
            <w:r>
              <w:rPr>
                <w:rFonts w:hint="default" w:ascii="Times New Roman" w:hAnsi="Times New Roman" w:cs="Times New Roman"/>
                <w:sz w:val="26"/>
                <w:szCs w:val="26"/>
                <w:lang w:val="en-US"/>
              </w:rPr>
              <w:t>.</w:t>
            </w:r>
          </w:p>
        </w:tc>
        <w:tc>
          <w:tcPr>
            <w:tcW w:w="5475" w:type="dxa"/>
          </w:tcPr>
          <w:p w14:paraId="5D662606">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bổ sung quy định phân loại hỗ trợ tư vấn gồm: tư vấn xây dựng hồ sơ, kế hoạch liên kết ban đầu và tư vấn đồng hành trong quá trình thực hiện liên kết như quản trị hợp đồng, chất lượng, tài chính, dữ liệu, thị trường. Đồng thời, cần bổ sung tiêu chí xác định mức hỗ trợ theo quy mô, tính chất liên kết để có cơ sở thực hiện.</w:t>
            </w:r>
          </w:p>
          <w:p w14:paraId="352E063B">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 Đề nghị sửa thành: </w:t>
            </w:r>
          </w:p>
          <w:p w14:paraId="01D82745">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cs="Times New Roman"/>
                <w:sz w:val="26"/>
                <w:szCs w:val="26"/>
                <w:lang w:val="vi-VN"/>
              </w:rPr>
              <w:t>“</w:t>
            </w:r>
            <w:r>
              <w:rPr>
                <w:rFonts w:hint="default" w:ascii="Times New Roman" w:hAnsi="Times New Roman" w:eastAsia="Times New Roman" w:cs="Times New Roman"/>
                <w:sz w:val="26"/>
                <w:szCs w:val="26"/>
                <w:lang w:eastAsia="vi-VN"/>
              </w:rPr>
              <w:t xml:space="preserve">1. Nội dung hỗ trợ: Chủ trì liên kết được nhà nước hỗ trợ 100% chi phí tư vấn để phát triển liên kết, tối đa không quá 500 triệu đồng, bao gồm </w:t>
            </w:r>
            <w:r>
              <w:rPr>
                <w:rFonts w:hint="default" w:ascii="Times New Roman" w:hAnsi="Times New Roman" w:eastAsia="Times New Roman" w:cs="Times New Roman"/>
                <w:sz w:val="26"/>
                <w:szCs w:val="26"/>
                <w:lang w:val="vi-VN" w:eastAsia="vi-VN"/>
              </w:rPr>
              <w:t xml:space="preserve">chi tiền công tư vấn </w:t>
            </w:r>
            <w:r>
              <w:rPr>
                <w:rFonts w:hint="default" w:ascii="Times New Roman" w:hAnsi="Times New Roman" w:eastAsia="Times New Roman" w:cs="Times New Roman"/>
                <w:sz w:val="26"/>
                <w:szCs w:val="26"/>
                <w:lang w:eastAsia="vi-VN"/>
              </w:rPr>
              <w:t xml:space="preserve">nghiên cứu thị trường, phân tích nhu cầu tiêu thụ sản phẩm; xây dựng hợp đồng, kế hoạch liên kết; xây dựng phương án tổ chức sản xuất, phát triển vùng nguyên liệu; xây dựng phương án thu mua, sơ chế,  chế biến, bảo quản, tiêu thụ sản phẩm, phát triển thương hiệu, quảng bá sản phẩm; </w:t>
            </w:r>
            <w:r>
              <w:rPr>
                <w:rFonts w:hint="default" w:ascii="Times New Roman" w:hAnsi="Times New Roman" w:eastAsia="Times New Roman" w:cs="Times New Roman"/>
                <w:sz w:val="26"/>
                <w:szCs w:val="26"/>
                <w:lang w:val="vi-VN" w:eastAsia="vi-VN"/>
              </w:rPr>
              <w:t xml:space="preserve"> khảo sát…</w:t>
            </w:r>
            <w:r>
              <w:rPr>
                <w:rFonts w:hint="default" w:ascii="Times New Roman" w:hAnsi="Times New Roman" w:eastAsia="Times New Roman" w:cs="Times New Roman"/>
                <w:sz w:val="26"/>
                <w:szCs w:val="26"/>
                <w:lang w:eastAsia="vi-VN"/>
              </w:rPr>
              <w:t xml:space="preserve">. Mức chi áp dụng </w:t>
            </w:r>
            <w:r>
              <w:rPr>
                <w:rFonts w:hint="default" w:ascii="Times New Roman" w:hAnsi="Times New Roman" w:eastAsia="Times New Roman" w:cs="Times New Roman"/>
                <w:sz w:val="26"/>
                <w:szCs w:val="26"/>
                <w:lang w:val="vi-VN" w:eastAsia="vi-VN"/>
              </w:rPr>
              <w:t xml:space="preserve">theo </w:t>
            </w:r>
            <w:r>
              <w:rPr>
                <w:rFonts w:hint="default" w:ascii="Times New Roman" w:hAnsi="Times New Roman" w:eastAsia="Times New Roman" w:cs="Times New Roman"/>
                <w:sz w:val="26"/>
                <w:szCs w:val="26"/>
                <w:lang w:eastAsia="vi-VN"/>
              </w:rPr>
              <w:t>T</w:t>
            </w:r>
            <w:r>
              <w:rPr>
                <w:rFonts w:hint="default" w:ascii="Times New Roman" w:hAnsi="Times New Roman" w:eastAsia="Times New Roman" w:cs="Times New Roman"/>
                <w:sz w:val="26"/>
                <w:szCs w:val="26"/>
                <w:lang w:val="vi-VN" w:eastAsia="vi-VN"/>
              </w:rPr>
              <w:t>hông tư số</w:t>
            </w:r>
            <w:r>
              <w:rPr>
                <w:rFonts w:hint="default" w:ascii="Times New Roman" w:hAnsi="Times New Roman" w:eastAsia="Times New Roman" w:cs="Times New Roman"/>
                <w:sz w:val="26"/>
                <w:szCs w:val="26"/>
                <w:lang w:eastAsia="vi-VN"/>
              </w:rPr>
              <w:t xml:space="preserve"> 004/2025/TT-BNV ngày 07/5/2025. </w:t>
            </w:r>
          </w:p>
        </w:tc>
        <w:tc>
          <w:tcPr>
            <w:tcW w:w="4567" w:type="dxa"/>
          </w:tcPr>
          <w:p w14:paraId="5C6742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Dự thảo đã quy định rõ nội dung hỗ trợ gồm: nghiên cứu thị trường, phân tích nhu cầu tiêu thụ sản phẩm; xây dựng hợp đồng, kế hoạch liên kết; xây dựng phương án tổ chức sản xuất, phát triển vùng nguyên liệu; xây dựng phương án thu mua, chế biến, tiêu thụ sản phẩm, phát triển thương hiệu.</w:t>
            </w:r>
          </w:p>
        </w:tc>
      </w:tr>
      <w:tr w14:paraId="7507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44C690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2663EE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3.</w:t>
            </w:r>
            <w:r>
              <w:rPr>
                <w:rFonts w:hint="default" w:ascii="Times New Roman" w:hAnsi="Times New Roman" w:eastAsia="Times New Roman" w:cs="Times New Roman"/>
                <w:sz w:val="26"/>
                <w:szCs w:val="26"/>
                <w:lang w:val="nl-NL" w:eastAsia="vi-VN"/>
              </w:rPr>
              <w:t xml:space="preserve"> Mức kinh phí hỗ trợ cụ thể thực hiện từng chính sách do bộ, cơ quan trung ương, Hội đồng nhân dân các cấp xem xét, quyết định hoặc trình cấp có thẩm quyền xem xét, quyết định phù hợp với định hướng ưu tiên và khả năng cân đối nguồn lực trong từng thời kỳ </w:t>
            </w:r>
            <w:r>
              <w:rPr>
                <w:rFonts w:hint="default" w:ascii="Times New Roman" w:hAnsi="Times New Roman" w:eastAsia="Times New Roman" w:cs="Times New Roman"/>
                <w:sz w:val="26"/>
                <w:szCs w:val="26"/>
                <w:lang w:eastAsia="vi-VN"/>
              </w:rPr>
              <w:t>và quy định của pháp luật.</w:t>
            </w:r>
          </w:p>
        </w:tc>
        <w:tc>
          <w:tcPr>
            <w:tcW w:w="1898" w:type="dxa"/>
          </w:tcPr>
          <w:p w14:paraId="1789276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Thái Nguyên</w:t>
            </w:r>
            <w:r>
              <w:rPr>
                <w:rFonts w:hint="default" w:ascii="Times New Roman" w:hAnsi="Times New Roman" w:cs="Times New Roman"/>
                <w:sz w:val="26"/>
                <w:szCs w:val="26"/>
              </w:rPr>
              <w:t>; Bắc Ninh</w:t>
            </w:r>
          </w:p>
        </w:tc>
        <w:tc>
          <w:tcPr>
            <w:tcW w:w="5475" w:type="dxa"/>
          </w:tcPr>
          <w:p w14:paraId="7734B54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Đối với quy định về “mức hỗ trợ” tại khoản 3 của các Điều: 11, 12, 13, 14, 15 trong dự thảo Nghị định Nội dung “Ngân sách nhà nước hỗ trợ tối đa 100% kinh phí thực hiện chính sách quy định tại Điều này. Mức kinh phí hỗ trợ cụ thể thực hiện từng chính sách do bộ, cơ quan trung ương, Hội đồng nhân dân các cấp xem xét, quyết định hoặc trình cấp có thẩm quyền xem xét, quyết định phù hợp với định hướng ưu tiên và khả năng cân đối nguồn lực trong từng thời kỳ và quy định của pháp luật”. Đề nghị đơn vị soạn thảo nghiên cứu, điều chỉnh quy định cụ thể tỷ lệ (%) ngân sách nhà nước hỗ trợ đối với từng nội dung, hạng mục hỗ trợ tại các Điều nêu trên. Việc quy định rõ mức ngân sách nhà nước hỗ trợ trong Nghị định, tạo sự thống nhất, áp dụng đồng bộ trên phạm vi cả nước, bảo đảm tính minh bạch, thuận lợi trong tổ chức thực hiện, đồng thời tránh tình trạng cùng một nội dung chính sách hỗ trợ nhưng mỗi địa phương lại ban hành và áp dụng mức hỗ trợ từ ngân sách nhà nước khác nhau.</w:t>
            </w:r>
          </w:p>
          <w:p w14:paraId="03B84B7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“Mức kinh phí hỗ trợ cụ thể thực hiện từng chính sách do bộ, cơ quan Trung ương, Hội đồng nhân dân cấp tỉnh xem xét, quyết định.”</w:t>
            </w:r>
          </w:p>
        </w:tc>
        <w:tc>
          <w:tcPr>
            <w:tcW w:w="4567" w:type="dxa"/>
          </w:tcPr>
          <w:p w14:paraId="5033F9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nên quy định cứng một tỷ lệ hỗ trợ thống nhất cho tất cả nội dung, ngành hàng, địa bàn và quy mô dự án liên kết ngay trong Nghị định, vì thực tiễn liên kết chuỗi giá trị nông nghiệp có sự khác biệt rất lớn về loại hình sản xuất, mức độ liên kết, điều kiện vùng miền, khả năng đối ứng của chủ thể và khả năng cân đối ngân sách của từng thời kỳ, từng địa phương. Việc quy định cứng có thể làm giảm tính linh hoạt trong điều hành ngân sách, khó triển khai đối với địa phương khó khăn hoặc các dự án liên kết quy mô lớn, đặc thù.</w:t>
            </w:r>
          </w:p>
          <w:p w14:paraId="37786D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Mặt khác, việc giao cấp có thẩm quyền quyết định mức hỗ trợ cụ thể cũng nhằm bảo đảm phù hợp với Luật Ngân sách nhà nước, Luật Đầu tư công và nguyên tắc phân cấp quản lý ngân sách, nhất là trong bối cảnh nguồn lực hỗ trợ được thực hiện thông qua nhiều chương trình, nguồn vốn khác nhau.</w:t>
            </w:r>
          </w:p>
          <w:p w14:paraId="05A02D5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Hơn nữa, tại Khoản 4, Điều 10 đữa đưa ra nguyên tắc hỗ trợ ưu tiên.</w:t>
            </w:r>
          </w:p>
        </w:tc>
      </w:tr>
      <w:tr w14:paraId="568F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trPr>
        <w:tc>
          <w:tcPr>
            <w:tcW w:w="781" w:type="dxa"/>
            <w:vMerge w:val="restart"/>
          </w:tcPr>
          <w:p w14:paraId="449222D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355038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sz w:val="26"/>
                <w:szCs w:val="26"/>
                <w:lang w:eastAsia="vi-VN"/>
              </w:rPr>
              <w:t>Điều 12. Chính sách hỗ trợ đầu tư phát triển kết cấu hạ tầng, trang thiết bị, cơ giới hóa</w:t>
            </w:r>
          </w:p>
        </w:tc>
        <w:tc>
          <w:tcPr>
            <w:tcW w:w="1898" w:type="dxa"/>
          </w:tcPr>
          <w:p w14:paraId="7F8B947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Sở Nông nghiệp và Môi trường TP</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Hà Nội</w:t>
            </w:r>
          </w:p>
        </w:tc>
        <w:tc>
          <w:tcPr>
            <w:tcW w:w="5475" w:type="dxa"/>
          </w:tcPr>
          <w:p w14:paraId="213D27F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eastAsia="Times New Roman" w:cs="Times New Roman"/>
                <w:sz w:val="26"/>
                <w:szCs w:val="26"/>
              </w:rPr>
              <w:t xml:space="preserve">Đề nghị cơ quan soạn thảo nghiên cứu tham mưu Chính phủ bổ sung quy định cụ thể về các nội dung hỗ trợ được sử dụng nguồn vốn chi thường xuyên; </w:t>
            </w:r>
            <w:r>
              <w:rPr>
                <w:rFonts w:hint="default" w:ascii="Times New Roman" w:hAnsi="Times New Roman" w:cs="Times New Roman"/>
                <w:b/>
                <w:sz w:val="26"/>
                <w:szCs w:val="26"/>
              </w:rPr>
              <w:t xml:space="preserve"> </w:t>
            </w:r>
            <w:r>
              <w:rPr>
                <w:rFonts w:hint="default" w:ascii="Times New Roman" w:hAnsi="Times New Roman" w:cs="Times New Roman"/>
                <w:sz w:val="26"/>
                <w:szCs w:val="26"/>
              </w:rPr>
              <w:t>Bổ sung mức hỗ trợ cụ thể (bao nhiêu %) đối với một số hạng mục hạ tầng không thuộc hạ tầng thiết yếu phát triển vùng nguyên liệu và liên kết chuỗi giá trị để tạo thuận lợi cho địa phương trong quá trình thực hiện.</w:t>
            </w:r>
          </w:p>
        </w:tc>
        <w:tc>
          <w:tcPr>
            <w:tcW w:w="4567" w:type="dxa"/>
          </w:tcPr>
          <w:p w14:paraId="5C23701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Bổ sung phân định nhóm nội dung sử dụng vốn đầu tư công và nhóm nội dung sử dụng kinh phí chi thường xuyên</w:t>
            </w:r>
          </w:p>
        </w:tc>
      </w:tr>
      <w:tr w14:paraId="2B51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9D109E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3768DA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p>
        </w:tc>
        <w:tc>
          <w:tcPr>
            <w:tcW w:w="1898" w:type="dxa"/>
          </w:tcPr>
          <w:p w14:paraId="7625479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Viện Chiến lược, Chính sách nông nghiệp và môi trường</w:t>
            </w:r>
          </w:p>
        </w:tc>
        <w:tc>
          <w:tcPr>
            <w:tcW w:w="5475" w:type="dxa"/>
          </w:tcPr>
          <w:p w14:paraId="0F38325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Về hỗ trợ hạ tầng, trang thiết bị, cơ giới hóa: Việc cho phép Nhà nước đầu tư 100% một số hạng mục hạ tầng thiết yếu và giao hợp tác xã hoặc chủ thể liên kết quản lý, khai thác là định hướng tích cực. Tuy nhiên, cần làm rõ cơ chế sở hữu, quản lý, vận hành, bảo trì, khấu hao, cho thuê/cho sử dụng chung, xử lý khi chuỗi liên kết chấm dứt hoặc chủ thể quản lý không còn đủ năng lực. Nếu không rõ, địa phương sẽ khó quyết định đầu tư và hợp tác xã khó sử dụng tài sản làm nền tảng phát triển dịch vụ.</w:t>
            </w:r>
          </w:p>
        </w:tc>
        <w:tc>
          <w:tcPr>
            <w:tcW w:w="4567" w:type="dxa"/>
          </w:tcPr>
          <w:p w14:paraId="606B2B5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quy định riêng trong Nghị định vì các nội dung này đã được điều chỉnh trong hệ thống pháp luật hiện hành theo nguồn vốn, hình thức đầu tư và loại tài sản được hỗ trợ.</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Cụ thể:</w:t>
            </w:r>
          </w:p>
          <w:p w14:paraId="187C6B8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Đối với tài sản hình thành từ nguồn vốn đầu tư công, việc quản lý, sử dụng, vận hành, bảo trì, khai thác tài sản thực hiện theo quy định của pháp luật về đầu tư công, quản lý, sử dụng tài sản công và pháp luật có liên quan;</w:t>
            </w:r>
          </w:p>
          <w:p w14:paraId="243D1F5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Đối với tài sản hỗ trợ cho </w:t>
            </w:r>
            <w:r>
              <w:rPr>
                <w:rFonts w:hint="default" w:ascii="Times New Roman" w:hAnsi="Times New Roman" w:cs="Times New Roman"/>
                <w:sz w:val="26"/>
                <w:szCs w:val="26"/>
                <w:lang w:val="en-US"/>
              </w:rPr>
              <w:t>HTX</w:t>
            </w:r>
            <w:r>
              <w:rPr>
                <w:rFonts w:hint="default" w:ascii="Times New Roman" w:hAnsi="Times New Roman" w:cs="Times New Roman"/>
                <w:sz w:val="26"/>
                <w:szCs w:val="26"/>
                <w:lang w:val="vi-VN"/>
              </w:rPr>
              <w:t xml:space="preserve">, thực hiện theo quy định của pháp luật về </w:t>
            </w:r>
            <w:r>
              <w:rPr>
                <w:rFonts w:hint="default" w:ascii="Times New Roman" w:hAnsi="Times New Roman" w:cs="Times New Roman"/>
                <w:sz w:val="26"/>
                <w:szCs w:val="26"/>
                <w:lang w:val="en-US"/>
              </w:rPr>
              <w:t>HTX</w:t>
            </w:r>
            <w:r>
              <w:rPr>
                <w:rFonts w:hint="default" w:ascii="Times New Roman" w:hAnsi="Times New Roman" w:cs="Times New Roman"/>
                <w:sz w:val="26"/>
                <w:szCs w:val="26"/>
                <w:lang w:val="vi-VN"/>
              </w:rPr>
              <w:t xml:space="preserve"> và các nghị định hướng dẫn thi hành, trong đó có quy định về quản lý, sử dụng tài sản được Nhà nước hỗ trợ cho </w:t>
            </w:r>
            <w:r>
              <w:rPr>
                <w:rFonts w:hint="default" w:ascii="Times New Roman" w:hAnsi="Times New Roman" w:cs="Times New Roman"/>
                <w:sz w:val="26"/>
                <w:szCs w:val="26"/>
                <w:lang w:val="en-US"/>
              </w:rPr>
              <w:t>HTX</w:t>
            </w:r>
            <w:r>
              <w:rPr>
                <w:rFonts w:hint="default" w:ascii="Times New Roman" w:hAnsi="Times New Roman" w:cs="Times New Roman"/>
                <w:sz w:val="26"/>
                <w:szCs w:val="26"/>
                <w:lang w:val="vi-VN"/>
              </w:rPr>
              <w:t>;</w:t>
            </w:r>
          </w:p>
          <w:p w14:paraId="79F0F0C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Đối với nội dung hỗ trợ thuộc chương trình </w:t>
            </w:r>
            <w:r>
              <w:rPr>
                <w:rFonts w:hint="default" w:ascii="Times New Roman" w:hAnsi="Times New Roman" w:cs="Times New Roman"/>
                <w:sz w:val="26"/>
                <w:szCs w:val="26"/>
                <w:lang w:val="en-US"/>
              </w:rPr>
              <w:t>MTQG và các</w:t>
            </w:r>
            <w:r>
              <w:rPr>
                <w:rFonts w:hint="default" w:ascii="Times New Roman" w:hAnsi="Times New Roman" w:cs="Times New Roman"/>
                <w:sz w:val="26"/>
                <w:szCs w:val="26"/>
                <w:lang w:val="vi-VN"/>
              </w:rPr>
              <w:t xml:space="preserve"> chương trình, dự án</w:t>
            </w:r>
            <w:r>
              <w:rPr>
                <w:rFonts w:hint="default" w:ascii="Times New Roman" w:hAnsi="Times New Roman" w:cs="Times New Roman"/>
                <w:sz w:val="26"/>
                <w:szCs w:val="26"/>
                <w:lang w:val="en-US"/>
              </w:rPr>
              <w:t xml:space="preserve"> liên quan</w:t>
            </w:r>
            <w:r>
              <w:rPr>
                <w:rFonts w:hint="default" w:ascii="Times New Roman" w:hAnsi="Times New Roman" w:cs="Times New Roman"/>
                <w:sz w:val="26"/>
                <w:szCs w:val="26"/>
                <w:lang w:val="vi-VN"/>
              </w:rPr>
              <w:t>, việc quản lý tài sản, cơ chế vận hành và xử lý tài sản thực hiện theo quy định của chương trình, dự án và nguồn vốn tương ứng.</w:t>
            </w:r>
          </w:p>
        </w:tc>
      </w:tr>
      <w:tr w14:paraId="0AF64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19CAE9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2E364C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p>
        </w:tc>
        <w:tc>
          <w:tcPr>
            <w:tcW w:w="1898" w:type="dxa"/>
          </w:tcPr>
          <w:p w14:paraId="689CD79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Công Thương</w:t>
            </w:r>
          </w:p>
        </w:tc>
        <w:tc>
          <w:tcPr>
            <w:tcW w:w="5475" w:type="dxa"/>
          </w:tcPr>
          <w:p w14:paraId="6406A9E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Tại Điều 12</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của Dự thảo Nghị định, đề nghị đơn vị soạn thảo rà soát kỹ nhằm tránh sự trùng lặp các chính sách đã được hỗ trợ đầu tư theo Chương trình mục tiêu quốc gia xây dựng nông thôn mới, giảm nghèo bền vũng và phát triển kinh tế - xã hội vùng đồng bào dân tộc thiều số và miền núi giai đoạn 2026-2035</w:t>
            </w:r>
          </w:p>
        </w:tc>
        <w:tc>
          <w:tcPr>
            <w:tcW w:w="4567" w:type="dxa"/>
          </w:tcPr>
          <w:p w14:paraId="6EB0AD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Dự thảo đã quy định nguyên tắc không hỗ trợ trùng lặp cho cùng một nội dung từ ngân sách nhà nước</w:t>
            </w:r>
            <w:r>
              <w:rPr>
                <w:rFonts w:hint="default" w:ascii="Times New Roman" w:hAnsi="Times New Roman" w:cs="Times New Roman"/>
                <w:sz w:val="26"/>
                <w:szCs w:val="26"/>
                <w:lang w:val="en-US"/>
              </w:rPr>
              <w:t xml:space="preserve"> tại Điều 10</w:t>
            </w:r>
            <w:r>
              <w:rPr>
                <w:rFonts w:hint="default" w:ascii="Times New Roman" w:hAnsi="Times New Roman" w:cs="Times New Roman"/>
                <w:sz w:val="26"/>
                <w:szCs w:val="26"/>
                <w:lang w:val="vi-VN"/>
              </w:rPr>
              <w:t>, đồng thời cho phép lồng ghép nguồn vốn từ các chương trình, chính sách khác</w:t>
            </w:r>
            <w:r>
              <w:rPr>
                <w:rFonts w:hint="default" w:ascii="Times New Roman" w:hAnsi="Times New Roman" w:cs="Times New Roman"/>
                <w:sz w:val="26"/>
                <w:szCs w:val="26"/>
                <w:lang w:val="en-US"/>
              </w:rPr>
              <w:t xml:space="preserve">, trong đo có </w:t>
            </w:r>
            <w:r>
              <w:rPr>
                <w:rFonts w:hint="default" w:ascii="Times New Roman" w:hAnsi="Times New Roman" w:cs="Times New Roman"/>
                <w:sz w:val="26"/>
                <w:szCs w:val="26"/>
              </w:rPr>
              <w:t>Chương trình mục tiêu quốc gia xây dựng nông thôn mới, giảm nghèo bền vũng và phát triển kinh tế - xã hội vùng đồng bào dân tộc thiều số và miền núi giai đoạn 2026-2035</w:t>
            </w:r>
          </w:p>
        </w:tc>
      </w:tr>
      <w:tr w14:paraId="65610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9DC632E">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6D5A52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p>
        </w:tc>
        <w:tc>
          <w:tcPr>
            <w:tcW w:w="1898" w:type="dxa"/>
          </w:tcPr>
          <w:p w14:paraId="3D2D303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Môi trường</w:t>
            </w:r>
          </w:p>
        </w:tc>
        <w:tc>
          <w:tcPr>
            <w:tcW w:w="5475" w:type="dxa"/>
          </w:tcPr>
          <w:p w14:paraId="099F9B8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Tham khảo Quyết định số 21/2025/QĐ-TTg ngày 04/7/2025 của Thủ tướng Chính phủ đã quy định tiêu chí môi trường và việc xác nhận dự án đầu tư thuộc danh mục phân loại xanh trong quy định về hình thức hỗ trợ và mức hỗ trợ đầu tư phát triển kết cấu hạ tầng trong vùng nguyên liệu liên kết để khuyến khích chủ thể chuỗi giá trị mạnh dạn đầu tư vào "nông nghiệp </w:t>
            </w:r>
            <w:r>
              <w:rPr>
                <w:rFonts w:hint="default" w:ascii="Times New Roman" w:hAnsi="Times New Roman" w:cs="Times New Roman"/>
                <w:sz w:val="26"/>
                <w:szCs w:val="26"/>
                <w:lang w:val="vi-VN"/>
              </w:rPr>
              <w:t>xanh”.</w:t>
            </w:r>
          </w:p>
        </w:tc>
        <w:tc>
          <w:tcPr>
            <w:tcW w:w="4567" w:type="dxa"/>
          </w:tcPr>
          <w:p w14:paraId="4B1E52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Bổ sung tại Điều 10 về nguyên tắc ưu tiên hỗ trợ đối với dự án liên kết áp dụng mô hình nông nghiệp xanh, hữu cơ, tuần hoàn, phát thải thấp, tiết kiệm tài nguyên, năng lượng tái tạo hoặc có chứng nhận môi trường phù hợp.</w:t>
            </w:r>
          </w:p>
        </w:tc>
      </w:tr>
      <w:tr w14:paraId="5F06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781" w:type="dxa"/>
          </w:tcPr>
          <w:p w14:paraId="63F7968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76D80F67">
            <w:pPr>
              <w:keepNext w:val="0"/>
              <w:keepLines w:val="0"/>
              <w:pageBreakBefore w:val="0"/>
              <w:numPr>
                <w:ilvl w:val="0"/>
                <w:numId w:val="3"/>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Nội dung hỗ trợ: Chủ trì liên kết được nhà nước hỗ trợ đầu tư phát triển kết cấu hạ tầng, trang thiết bị phục vụ phát triển liên kết chuỗi giá trị, bao gồm:</w:t>
            </w:r>
          </w:p>
          <w:p w14:paraId="2C55908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a) Hạ tầng thiết yếu phục vụ hình thành và phát triển vùng nguyên liệu: Công trình thủy lợi, giao thông nội đồng trong lĩnh vực trồng trọt, lâm nghiệp, diêm nghiệp (cống, trạm bơm, giếng, đường ống dẫn nước, đập dâng, kênh, bể chứa nước, công trình trên kênh, bờ bao, hệ thống cấp nước đầu mối phục vụ tưới tiết kiệm, đường trục chính giao thông nội đồng, đường ranh cản lửa, đường lâm nghiệp,…); Công trình kết cấu hạ tầng vùng nuôi trồng thủy sản: hệ thống cấp, thoát nước đầu mối (ao, bể chứa, cống, kênh, đường ống, trạm bơm), đê bao, kè, đường giao thông, công trình xử lý nước thải chung; hệ thống phao tiêu, đèn báo ranh giới khu vực nuôi, hệ thống neo lồng bè, nâng cấp và phát triển lồng bè nuôi trồng thủy, hải sản tập trung; Công trình kết cấu hạ tầng vùng chăn nuôi tập trung: đường giao thông, công trình xử lý nước thải chung, hệ thống chuồng trại và các công trình phụ trợ.</w:t>
            </w:r>
          </w:p>
        </w:tc>
        <w:tc>
          <w:tcPr>
            <w:tcW w:w="1898" w:type="dxa"/>
          </w:tcPr>
          <w:p w14:paraId="699677B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iCs/>
                <w:sz w:val="26"/>
                <w:szCs w:val="26"/>
                <w:lang w:val="de-DE"/>
              </w:rPr>
              <w:t xml:space="preserve">Sở Nông nghiệp và Môi trường Thành phố  Hồ Chí </w:t>
            </w:r>
            <w:r>
              <w:rPr>
                <w:rFonts w:hint="default" w:ascii="Times New Roman" w:hAnsi="Times New Roman" w:cs="Times New Roman"/>
                <w:iCs/>
                <w:sz w:val="26"/>
                <w:szCs w:val="26"/>
                <w:lang w:val="vi-VN"/>
              </w:rPr>
              <w:t xml:space="preserve">Minh; </w:t>
            </w:r>
            <w:r>
              <w:rPr>
                <w:rFonts w:hint="default" w:ascii="Times New Roman" w:hAnsi="Times New Roman" w:cs="Times New Roman"/>
                <w:sz w:val="26"/>
                <w:szCs w:val="26"/>
              </w:rPr>
              <w:t xml:space="preserve">Cục Quản lý và xây dựng công trình thủy </w:t>
            </w:r>
            <w:r>
              <w:rPr>
                <w:rFonts w:hint="default" w:ascii="Times New Roman" w:hAnsi="Times New Roman" w:cs="Times New Roman"/>
                <w:sz w:val="26"/>
                <w:szCs w:val="26"/>
                <w:lang w:val="vi-VN"/>
              </w:rPr>
              <w:t>lợi; Cục Thủy sản và kiểm ngư; UBND tỉnh Quảng Trị</w:t>
            </w:r>
          </w:p>
        </w:tc>
        <w:tc>
          <w:tcPr>
            <w:tcW w:w="5475" w:type="dxa"/>
          </w:tcPr>
          <w:p w14:paraId="11E78C70">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eastAsia="ja-JP"/>
              </w:rPr>
              <w:t>Đ</w:t>
            </w:r>
            <w:r>
              <w:rPr>
                <w:rFonts w:hint="default" w:ascii="Times New Roman" w:hAnsi="Times New Roman" w:cs="Times New Roman"/>
                <w:sz w:val="26"/>
                <w:szCs w:val="26"/>
                <w:lang w:val="de-DE" w:eastAsia="ja-JP"/>
              </w:rPr>
              <w:t>ề nghị xem xét bổ sung các đối tượng được hưởng chính sách hỗ trợ gồm: công trình phòng chống sạt lở; công trình phòng chống ngập úng; công trình chống hạn, xâm nhập mặn; công trình quan trắc, cảnh báo thời tiết, thiên tai, công trình giao thông thủy lợi.</w:t>
            </w:r>
            <w:r>
              <w:rPr>
                <w:rFonts w:hint="default" w:ascii="Times New Roman" w:hAnsi="Times New Roman" w:cs="Times New Roman"/>
                <w:sz w:val="26"/>
                <w:szCs w:val="26"/>
                <w:lang w:val="vi-VN" w:eastAsia="ja-JP"/>
              </w:rPr>
              <w:t xml:space="preserve"> </w:t>
            </w:r>
            <w:r>
              <w:rPr>
                <w:rFonts w:hint="default" w:ascii="Times New Roman" w:hAnsi="Times New Roman" w:cs="Times New Roman"/>
                <w:sz w:val="26"/>
                <w:szCs w:val="26"/>
              </w:rPr>
              <w:t>“công trình tích trữ nước” và sửa đổi cụm từ “hệ thống cấp nước đầu mối phục vụ tưới tiết kiệm” thành “hệ thống tưới tiên tiến, tiết kiệm nước”</w:t>
            </w:r>
            <w:r>
              <w:rPr>
                <w:rFonts w:hint="default" w:ascii="Times New Roman" w:hAnsi="Times New Roman" w:cs="Times New Roman"/>
                <w:sz w:val="26"/>
                <w:szCs w:val="26"/>
                <w:lang w:val="vi-VN"/>
              </w:rPr>
              <w:t>,</w:t>
            </w:r>
            <w:r>
              <w:rPr>
                <w:rFonts w:hint="default" w:ascii="Times New Roman" w:hAnsi="Times New Roman" w:cs="Times New Roman"/>
                <w:i/>
                <w:iCs/>
                <w:sz w:val="26"/>
                <w:szCs w:val="26"/>
              </w:rPr>
              <w:t>“hệ thống quan trắc, cảnh báo môi trường nuôi trồng thủy sản tự động”</w:t>
            </w:r>
            <w:r>
              <w:rPr>
                <w:rFonts w:hint="default" w:ascii="Times New Roman" w:hAnsi="Times New Roman" w:cs="Times New Roman"/>
                <w:sz w:val="26"/>
                <w:szCs w:val="26"/>
              </w:rPr>
              <w:t xml:space="preserve">. </w:t>
            </w:r>
          </w:p>
          <w:p w14:paraId="69B5A19A">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de-DE" w:eastAsia="ja-JP"/>
              </w:rPr>
              <w:t>Lý do: Đây là các hạng mục thiết yếu phục vụ phát triển vùng nguyên liệu trong bối cảnh biến đổi khí hậu và thiên tai ngày càng diễn biến phức tạp; đồng thời góp phần bảo đảm hiệu quả và tính bền vững của đầu tư hạ tầng</w:t>
            </w:r>
            <w:r>
              <w:rPr>
                <w:rFonts w:hint="default" w:ascii="Times New Roman" w:hAnsi="Times New Roman" w:cs="Times New Roman"/>
                <w:sz w:val="26"/>
                <w:szCs w:val="26"/>
                <w:lang w:val="vi-VN" w:eastAsia="ja-JP"/>
              </w:rPr>
              <w:t xml:space="preserve"> và </w:t>
            </w:r>
            <w:r>
              <w:rPr>
                <w:rFonts w:hint="default" w:ascii="Times New Roman" w:hAnsi="Times New Roman" w:cs="Times New Roman"/>
                <w:sz w:val="26"/>
                <w:szCs w:val="26"/>
              </w:rPr>
              <w:t>phù hợp với chính sách hỗ trợ phát triển thủy lợi nhỏ, thủy lợi nội đồng và tưới tiên tiến, tiết kiệm nước được Chính phủ ban hành tại Nghị định số 77/2018/NĐ-CP.</w:t>
            </w:r>
          </w:p>
          <w:p w14:paraId="4C7A8350">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eastAsia="ja-JP"/>
              </w:rPr>
            </w:pPr>
            <w:r>
              <w:rPr>
                <w:rFonts w:hint="default" w:ascii="Times New Roman" w:hAnsi="Times New Roman" w:cs="Times New Roman"/>
                <w:sz w:val="26"/>
                <w:szCs w:val="26"/>
              </w:rPr>
              <w:t>Hiện tại danh mục các công trình được liệt kê kèm theo dấu “…”. Đề nghị xem xét, bổ sung đầy đủ các hạng mục hạ tầng hoặc bỏ dấu “…” Lý do: Việc sử dụng dấu “…” khiến phạm vi các hạng mục hạ tầng chưa được xác định đầy đủ, chưa minh bạch và thống nhất, có thể gây khó khăn cho địa phương khi lập, trình và thẩm định dự án hỗ trợ</w:t>
            </w:r>
          </w:p>
        </w:tc>
        <w:tc>
          <w:tcPr>
            <w:tcW w:w="4567" w:type="dxa"/>
          </w:tcPr>
          <w:p w14:paraId="130C6EE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w:t>
            </w:r>
            <w:r>
              <w:rPr>
                <w:rFonts w:hint="default" w:ascii="Times New Roman" w:hAnsi="Times New Roman" w:cs="Times New Roman"/>
                <w:sz w:val="26"/>
                <w:szCs w:val="26"/>
                <w:lang w:val="en-US"/>
              </w:rPr>
              <w:t>iếp thu. T</w:t>
            </w:r>
            <w:r>
              <w:rPr>
                <w:rFonts w:hint="default" w:ascii="Times New Roman" w:hAnsi="Times New Roman" w:cs="Times New Roman"/>
                <w:sz w:val="26"/>
                <w:szCs w:val="26"/>
                <w:lang w:val="vi-VN"/>
              </w:rPr>
              <w:t>uy nhiên, để bảo đảm phạm vi điều chỉnh của Nghị định, cơ quan soạn thảo chỉ bổ sung các công trình phục vụ trực tiếp vùng nguyên liệu và chuỗi giá trị, không mở rộng sang các công trình phòng chống thiên tai quy mô lớn, hạ tầng công cộng hoặc nhiệm vụ đầu tư ngân sách chung của địa phương.</w:t>
            </w:r>
          </w:p>
        </w:tc>
      </w:tr>
      <w:tr w14:paraId="4461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3210FDD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50E7539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b) Hạ tầng phục vụ sản xuất, sơ chế, chế biến, bảo quản và tiêu thụ sản phẩm: nhà xưởng, kho tàng, bến bãi, trung tâm thu gom, cơ sở sơ chế, chế biến, kho lạnh, hệ thống logistics, điểm tập kết sản phẩm nông nghiệp.</w:t>
            </w:r>
          </w:p>
        </w:tc>
        <w:tc>
          <w:tcPr>
            <w:tcW w:w="1898" w:type="dxa"/>
          </w:tcPr>
          <w:p w14:paraId="557E6E9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Thủy sản và Kiểm ngư</w:t>
            </w:r>
          </w:p>
        </w:tc>
        <w:tc>
          <w:tcPr>
            <w:tcW w:w="5475" w:type="dxa"/>
          </w:tcPr>
          <w:p w14:paraId="6E65938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Điểm </w:t>
            </w:r>
            <w:r>
              <w:rPr>
                <w:rFonts w:hint="default" w:ascii="Times New Roman" w:hAnsi="Times New Roman" w:cs="Times New Roman"/>
                <w:sz w:val="26"/>
                <w:szCs w:val="26"/>
                <w:lang w:val="vi-VN"/>
              </w:rPr>
              <w:t xml:space="preserve">a, </w:t>
            </w:r>
            <w:r>
              <w:rPr>
                <w:rFonts w:hint="default" w:ascii="Times New Roman" w:hAnsi="Times New Roman" w:cs="Times New Roman"/>
                <w:sz w:val="26"/>
                <w:szCs w:val="26"/>
              </w:rPr>
              <w:t xml:space="preserve">b khoản 1: Dự thảo đề cập đến hạ tầng logistics, kho lạnh. Đề nghị nghiên cứu bổ sung chính sách hỗ trợ về </w:t>
            </w:r>
            <w:r>
              <w:rPr>
                <w:rFonts w:hint="default" w:ascii="Times New Roman" w:hAnsi="Times New Roman" w:cs="Times New Roman"/>
                <w:i/>
                <w:iCs/>
                <w:sz w:val="26"/>
                <w:szCs w:val="26"/>
              </w:rPr>
              <w:t>“quản trị chuỗi cung ứng”</w:t>
            </w:r>
            <w:r>
              <w:rPr>
                <w:rFonts w:hint="default" w:ascii="Times New Roman" w:hAnsi="Times New Roman" w:cs="Times New Roman"/>
                <w:sz w:val="26"/>
                <w:szCs w:val="26"/>
              </w:rPr>
              <w:t xml:space="preserve"> (ví dụ như chuỗi cung ứng lạnh) và </w:t>
            </w:r>
            <w:r>
              <w:rPr>
                <w:rFonts w:hint="default" w:ascii="Times New Roman" w:hAnsi="Times New Roman" w:cs="Times New Roman"/>
                <w:i/>
                <w:iCs/>
                <w:sz w:val="26"/>
                <w:szCs w:val="26"/>
              </w:rPr>
              <w:t>“kết nối hạ tầng logistics liên vùng”</w:t>
            </w:r>
            <w:r>
              <w:rPr>
                <w:rFonts w:hint="default" w:ascii="Times New Roman" w:hAnsi="Times New Roman" w:cs="Times New Roman"/>
                <w:sz w:val="26"/>
                <w:szCs w:val="26"/>
              </w:rPr>
              <w:t xml:space="preserve"> thay vì chỉ tập trung vào hạ tầng tại chỗ. </w:t>
            </w:r>
            <w:r>
              <w:rPr>
                <w:rFonts w:hint="default" w:ascii="Times New Roman" w:hAnsi="Times New Roman" w:cs="Times New Roman"/>
                <w:b/>
                <w:bCs/>
                <w:sz w:val="26"/>
                <w:szCs w:val="26"/>
              </w:rPr>
              <w:t>Lý do:</w:t>
            </w:r>
            <w:r>
              <w:rPr>
                <w:rFonts w:hint="default" w:ascii="Times New Roman" w:hAnsi="Times New Roman" w:cs="Times New Roman"/>
                <w:sz w:val="26"/>
                <w:szCs w:val="26"/>
              </w:rPr>
              <w:t xml:space="preserve"> đối với sản phẩm thủy sản sau khi thu hoạch cần phải bảo quản lạnh ngay lập tức; nếu chỉ hỗ trợ kho lạnh chung mà không có hệ thống xe lạnh trung chuyển từ vùng nuôi đến nhà máy chế biến thì hiệu quả liên kết sẽ thấp, giảm năng lực cạnh tranh của các sản phẩm thủy sản nói riêng và sản phẩm nông nghiệp nói chung.</w:t>
            </w:r>
          </w:p>
        </w:tc>
        <w:tc>
          <w:tcPr>
            <w:tcW w:w="4567" w:type="dxa"/>
          </w:tcPr>
          <w:p w14:paraId="49D9D23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N</w:t>
            </w:r>
            <w:r>
              <w:rPr>
                <w:rFonts w:hint="default" w:ascii="Times New Roman" w:hAnsi="Times New Roman" w:cs="Times New Roman"/>
                <w:sz w:val="26"/>
                <w:szCs w:val="26"/>
                <w:lang w:val="vi-VN"/>
              </w:rPr>
              <w:t xml:space="preserve">ội dung này thuộc dịch vụ quản trị chuỗi, tổ chức logistics và vận hành thị trường, không hoàn toàn là hạ tầng đầu tư cố định theo phạm vi Điều 12. Vì vậy, cơ quan soạn thảo tiếp thu theo hướng mở rộng phạm vi hỗ trợ đối với trang thiết bị logistics, kho lạnh, phương tiện vận chuyển chuyên dùng và hạ tầng kết nối logistics phục vụ trực tiếp dự án liên kết; đồng thời </w:t>
            </w:r>
            <w:r>
              <w:rPr>
                <w:rFonts w:hint="default" w:ascii="Times New Roman" w:hAnsi="Times New Roman" w:cs="Times New Roman"/>
                <w:sz w:val="26"/>
                <w:szCs w:val="26"/>
                <w:lang w:val="en-US"/>
              </w:rPr>
              <w:t xml:space="preserve">rà soát, </w:t>
            </w:r>
            <w:r>
              <w:rPr>
                <w:rFonts w:hint="default" w:ascii="Times New Roman" w:hAnsi="Times New Roman" w:cs="Times New Roman"/>
                <w:sz w:val="26"/>
                <w:szCs w:val="26"/>
                <w:lang w:val="vi-VN"/>
              </w:rPr>
              <w:t>bổ sung nội dung hỗ trợ quản trị chuỗi cung ứng, logistics lạnh, kết nối thị trường tại Điều 13</w:t>
            </w:r>
            <w:r>
              <w:rPr>
                <w:rFonts w:hint="default" w:ascii="Times New Roman" w:hAnsi="Times New Roman" w:cs="Times New Roman"/>
                <w:sz w:val="26"/>
                <w:szCs w:val="26"/>
                <w:lang w:val="en-US"/>
              </w:rPr>
              <w:t>.</w:t>
            </w:r>
          </w:p>
        </w:tc>
      </w:tr>
      <w:tr w14:paraId="1E35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3ECF2C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42A344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222450E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Cà Mau</w:t>
            </w:r>
            <w:r>
              <w:rPr>
                <w:rFonts w:hint="default" w:ascii="Times New Roman" w:hAnsi="Times New Roman" w:cs="Times New Roman"/>
                <w:sz w:val="26"/>
                <w:szCs w:val="26"/>
              </w:rPr>
              <w:t>; Nghệ An</w:t>
            </w:r>
          </w:p>
        </w:tc>
        <w:tc>
          <w:tcPr>
            <w:tcW w:w="5475" w:type="dxa"/>
          </w:tcPr>
          <w:p w14:paraId="6641525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 xml:space="preserve">ề nghị đơn vị soạn thảo nghiên cứu điều chỉnh lại như sau “Hạ tầng phục vụ sản xuất, </w:t>
            </w:r>
            <w:r>
              <w:rPr>
                <w:rFonts w:hint="default" w:ascii="Times New Roman" w:hAnsi="Times New Roman" w:cs="Times New Roman"/>
                <w:b/>
                <w:bCs/>
                <w:sz w:val="26"/>
                <w:szCs w:val="26"/>
              </w:rPr>
              <w:t>thu mua</w:t>
            </w:r>
            <w:r>
              <w:rPr>
                <w:rFonts w:hint="default" w:ascii="Times New Roman" w:hAnsi="Times New Roman" w:cs="Times New Roman"/>
                <w:sz w:val="26"/>
                <w:szCs w:val="26"/>
              </w:rPr>
              <w:t xml:space="preserve">, sơ chế, chế biến, bảo quản và tiêu thụ sản phẩm: </w:t>
            </w:r>
            <w:r>
              <w:rPr>
                <w:rFonts w:hint="default" w:ascii="Times New Roman" w:hAnsi="Times New Roman" w:cs="Times New Roman"/>
                <w:sz w:val="26"/>
                <w:szCs w:val="26"/>
                <w:lang w:val="vi-VN"/>
              </w:rPr>
              <w:t>nhà xưởng, kho tàng,</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bến bãi, </w:t>
            </w:r>
            <w:r>
              <w:rPr>
                <w:rFonts w:hint="default" w:ascii="Times New Roman" w:hAnsi="Times New Roman" w:cs="Times New Roman"/>
                <w:b/>
                <w:bCs/>
                <w:sz w:val="26"/>
                <w:szCs w:val="26"/>
                <w:lang w:val="vi-VN"/>
              </w:rPr>
              <w:t>trung tâm thu mua - cung ứng nông sản</w:t>
            </w:r>
            <w:r>
              <w:rPr>
                <w:rFonts w:hint="default" w:ascii="Times New Roman" w:hAnsi="Times New Roman" w:cs="Times New Roman"/>
                <w:sz w:val="26"/>
                <w:szCs w:val="26"/>
                <w:lang w:val="vi-VN"/>
              </w:rPr>
              <w:t>,</w:t>
            </w:r>
            <w:r>
              <w:rPr>
                <w:rFonts w:hint="default" w:ascii="Times New Roman" w:hAnsi="Times New Roman" w:cs="Times New Roman"/>
                <w:sz w:val="26"/>
                <w:szCs w:val="26"/>
              </w:rPr>
              <w:t>…”.</w:t>
            </w:r>
          </w:p>
        </w:tc>
        <w:tc>
          <w:tcPr>
            <w:tcW w:w="4567" w:type="dxa"/>
          </w:tcPr>
          <w:p w14:paraId="7301917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199D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F7CA55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0BE011F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c) Máy móc, trang thiết bị, công nghệ phục vụ liên kết chuỗi giá trị: ..</w:t>
            </w:r>
          </w:p>
        </w:tc>
        <w:tc>
          <w:tcPr>
            <w:tcW w:w="1898" w:type="dxa"/>
          </w:tcPr>
          <w:p w14:paraId="2E1DE0E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w:t>
            </w:r>
            <w:r>
              <w:rPr>
                <w:rFonts w:hint="default" w:ascii="Times New Roman" w:hAnsi="Times New Roman" w:cs="Times New Roman"/>
                <w:sz w:val="26"/>
                <w:szCs w:val="26"/>
              </w:rPr>
              <w:t xml:space="preserve"> Nghệ An</w:t>
            </w:r>
          </w:p>
        </w:tc>
        <w:tc>
          <w:tcPr>
            <w:tcW w:w="5475" w:type="dxa"/>
          </w:tcPr>
          <w:p w14:paraId="4B4A1C9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Đề nghị chỉnh sửa thành “Máy móc, trang</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thiết bị, công nghệ phục vụ liên kết chuỗi giá trị: máy móc, thiết bị phục vụ sản</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xuất, thu hoạch, vận chuyển, bảo quản, </w:t>
            </w:r>
            <w:r>
              <w:rPr>
                <w:rFonts w:hint="default" w:ascii="Times New Roman" w:hAnsi="Times New Roman" w:cs="Times New Roman"/>
                <w:b/>
                <w:bCs/>
                <w:sz w:val="26"/>
                <w:szCs w:val="26"/>
                <w:lang w:val="vi-VN"/>
              </w:rPr>
              <w:t xml:space="preserve">sơ chế, chế biến </w:t>
            </w:r>
            <w:r>
              <w:rPr>
                <w:rFonts w:hint="default" w:ascii="Times New Roman" w:hAnsi="Times New Roman" w:cs="Times New Roman"/>
                <w:sz w:val="26"/>
                <w:szCs w:val="26"/>
                <w:lang w:val="vi-VN"/>
              </w:rPr>
              <w:t>sản phẩm…”.</w:t>
            </w:r>
          </w:p>
        </w:tc>
        <w:tc>
          <w:tcPr>
            <w:tcW w:w="4567" w:type="dxa"/>
          </w:tcPr>
          <w:p w14:paraId="7538A84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05D63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8A23A0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298C95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d) Hạ tầng và giải pháp phục vụ chuyển đổi xanh, kinh tế tuần hoàn và chuyển đổi số: công trình tiết kiệm, tái sử dụng nước; năng lượng tái tạo; hệ thống xử lý, tái chế phụ phẩm, chất thải nông nghiệp; hạ tầng số phục vụ quản lý vùng nguyên liệu, truy xuất nguồn gốc, quản trị sản xuất và chuỗi giá trị; các giải pháp giảm phát thải, thích ứng biến đổi khí hậu.</w:t>
            </w:r>
          </w:p>
        </w:tc>
        <w:tc>
          <w:tcPr>
            <w:tcW w:w="1898" w:type="dxa"/>
          </w:tcPr>
          <w:p w14:paraId="25AA84F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Cục Biến đổi khí; </w:t>
            </w:r>
            <w:r>
              <w:rPr>
                <w:rFonts w:hint="default" w:ascii="Times New Roman" w:hAnsi="Times New Roman" w:cs="Times New Roman"/>
                <w:sz w:val="26"/>
                <w:szCs w:val="26"/>
                <w:lang w:val="vi-VN"/>
              </w:rPr>
              <w:t>UBND tỉnh Quảng Trị</w:t>
            </w:r>
          </w:p>
          <w:p w14:paraId="0A706A7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5475" w:type="dxa"/>
          </w:tcPr>
          <w:p w14:paraId="19BC4C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Tại điểm d khoản 1 Điều 12, đề nghị bổ sung nội dung: các giải pháp giảm phát thải khí nhà kính, thích ứng với biến đổi khí hậu”; </w:t>
            </w:r>
          </w:p>
          <w:p w14:paraId="67BF6C4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Đề nghị xem xét, bổ sung thêm nội dung hỗ trợ: Hệ thống điện sản xuất. </w:t>
            </w:r>
          </w:p>
          <w:p w14:paraId="15B2287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Lý do: Thực tế tại nhiều vùng nguyên liệu xa trung tâm, đặc biệt ở khu vực miền núi, hệ thống điện chưa được đầu tư đến khu vực sản xuất. Việc thiếu điện gây khó khăn trong việc ứng dụng máy móc, thiết bị, công nghệ số và các giải pháp phục vụ chuyển đổi xanh, kinh tế tuần hoàn nên bổ sung danh mục này vào là rất thiết thực trong vấn đề liên kết</w:t>
            </w:r>
          </w:p>
        </w:tc>
        <w:tc>
          <w:tcPr>
            <w:tcW w:w="4567" w:type="dxa"/>
          </w:tcPr>
          <w:p w14:paraId="6EC7E62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Tuy nhiên, để tránh chồng chéo với đầu tư hạ tầng điện nông thôn theo quy hoạch và chương trình đầu tư công khác, cơ quan soạn thảo đề xuất tiếp thu theo hướng giới hạn phạm vi hỗ trợ đối với hệ thống điện phục vụ trực tiếp sản xuất, sơ chế, bảo quản, chế biến, tưới tiết kiệm, chuyển đổi số và vận hành hạ tầng trong phạm vi dự án liên kết, không bao gồm đầu tư lưới điện công cộng hoặc điện sinh hoạt ngoài phạm vi chuỗi giá trị.</w:t>
            </w:r>
          </w:p>
        </w:tc>
      </w:tr>
      <w:tr w14:paraId="4878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51AF017">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05F072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2. Nguồn hỗ trợ: Ngân sách nhà nước theo phân cấp ngân sách hiện hành, bao gồm vốn đầu tư công và kinh phí sự nghiệp; lồng ghép từ chương trình mục tiêu quốc gia và các chương trình, dự án hợp pháp khác theo quy định của pháp luật. Trường hợp nội dung hỗ trợ thuộc phạm vi chính sách hỗ trợ phát triển hợp tác xã thì thực hiện theo quy định pháp luật về hợp tác xã.</w:t>
            </w:r>
          </w:p>
          <w:p w14:paraId="4949504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1C99DF9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Cục Quản lý và Xây dựng công trình thủy lợi</w:t>
            </w:r>
          </w:p>
        </w:tc>
        <w:tc>
          <w:tcPr>
            <w:tcW w:w="5475" w:type="dxa"/>
          </w:tcPr>
          <w:p w14:paraId="5624040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Khoản 2, khoản 3 quy định về nguồn hỗ trợ, dẫn chiếu đến pháp luật có liên quan. Tuy nhiên, với kết cấu hạ tầng thiết yếu là công trình thủy lợi nhỏ, thủy lợi nội đồng (gồm: công trình tích trữ nước, hệ thống tưới tiên tiến, tiết kiệm nước, trạm bơm điện, cống và kiên cố hóa kênh mương) thì chính sách hỗ trợ theo Nghị định số 77/2018/NĐ-CP chỉ áp dụng với đối tượng là tổ chức thủy lợi cơ sở và cá nhân là thành viên của tổ chức thủy lợi cơ sở. Theo đó, tổ chức, cá nhân tham gia chuỗi liên kết không là tổ chức thủy lợi cơ sở và cá nhân không là thành viên của tổ chức thủy lợi cơ sở thì không thuộc đối tượng hỗ trợ của Nghị định số 77/2018/NĐ-CP. Để bảo đảm tính thống nhất, đồng bộ của hệ thống văn bản QPPL và Nghị định sau khi ban hành thi hành được, đồng thời khuyến khích tổ chức, cá nhân có tiềm năng tham gia chuỗi liên kết đầu tư, xây dựng, quản lý, khai thác công trình thủy lợi nhỏ, thủy lợi nội đồng phục vụ phát triển chuỗi liên kết, gia tăng giá trị đóng góp vào mục tiêu phát triển 2 con số, đề nghị nghiên cứu, xem xét mở rộng phạm vi chính sách hỗ trợ tại Nghị định số 77/2018/NĐ-CP cho tổ chức tham gia chuỗi cung ứng không là tổ chức thủy lợi cơ sở và cá nhân tham gia chuỗi không là thành viên của tổ chức thủy lợi cơ sở hoặc quy định bổ sung riêng cơ chế hỗ trợ cho đối tượng này tại dự thảo Nghị định.</w:t>
            </w:r>
          </w:p>
        </w:tc>
        <w:tc>
          <w:tcPr>
            <w:tcW w:w="4567" w:type="dxa"/>
          </w:tcPr>
          <w:p w14:paraId="2CF2003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T</w:t>
            </w:r>
            <w:r>
              <w:rPr>
                <w:rFonts w:hint="default" w:ascii="Times New Roman" w:hAnsi="Times New Roman" w:cs="Times New Roman"/>
                <w:sz w:val="26"/>
                <w:szCs w:val="26"/>
                <w:lang w:val="vi-VN"/>
              </w:rPr>
              <w:t>hống nhất với ý kiến góp ý về thực tiễn hiện nay còn có khoảng trống chính sách đối với các tổ chức, cá nhân tham gia liên kết chuỗi giá trị đầu tư công trình thủy lợi nhỏ, thủy lợi nội đồng phục vụ vùng nguyên liệu nhưng không thuộc đối tượng áp dụng của Nghị định số 77/2018/NĐ-CP của Chính phủ.</w:t>
            </w:r>
          </w:p>
          <w:p w14:paraId="3EBBDF7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Tuy nhiên, </w:t>
            </w:r>
            <w:r>
              <w:rPr>
                <w:rFonts w:hint="default" w:ascii="Times New Roman" w:hAnsi="Times New Roman" w:cs="Times New Roman"/>
                <w:sz w:val="26"/>
                <w:szCs w:val="26"/>
                <w:lang w:val="en-US"/>
              </w:rPr>
              <w:t xml:space="preserve">trong Nghị định này </w:t>
            </w:r>
            <w:r>
              <w:rPr>
                <w:rFonts w:hint="default" w:ascii="Times New Roman" w:hAnsi="Times New Roman" w:cs="Times New Roman"/>
                <w:sz w:val="26"/>
                <w:szCs w:val="26"/>
                <w:lang w:val="vi-VN"/>
              </w:rPr>
              <w:t>không quy định mở rộng đối tượng áp dụng của Nghị định số 77/2018/NĐ-CP, vì chính sách hỗ trợ phát triển thủy lợi nhỏ, thủy lợi nội đồng tại Nghị định số 77/2018/NĐ-CP là cơ chế chuyên ngành, có phạm vi, đối tượng áp dụng và điều kiện hỗ trợ riêng</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V</w:t>
            </w:r>
            <w:r>
              <w:rPr>
                <w:rFonts w:hint="default" w:ascii="Times New Roman" w:hAnsi="Times New Roman" w:cs="Times New Roman"/>
                <w:sz w:val="26"/>
                <w:szCs w:val="26"/>
                <w:lang w:val="vi-VN"/>
              </w:rPr>
              <w:t>iệc sửa đổi, mở rộng đối tượng cần được nghiên cứu tổng thể trong quá trình sửa đổi pháp luật chuyên ngành thủy lợi để bảo đảm tính thống nhất của hệ thống pháp luật.</w:t>
            </w:r>
          </w:p>
        </w:tc>
      </w:tr>
      <w:tr w14:paraId="0517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7DC03C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733B6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3. Hình thức hỗ trợ và mức hỗ trợ: </w:t>
            </w:r>
          </w:p>
          <w:p w14:paraId="7E894E2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7488AAE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TP Cần Thơ</w:t>
            </w:r>
          </w:p>
        </w:tc>
        <w:tc>
          <w:tcPr>
            <w:tcW w:w="5475" w:type="dxa"/>
          </w:tcPr>
          <w:p w14:paraId="3A112D5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tách thành 02 khoản (khoản 3 hình thức hỗ trợ và bổ sung khoản 4 mức hỗ trợ) đồng thời quy định cụ thể mức hỗ trợ (tỷ lệ %) theo 04 nhóm nội dung hỗ trợ quy định tại điểm 1 Điều này.</w:t>
            </w:r>
          </w:p>
        </w:tc>
        <w:tc>
          <w:tcPr>
            <w:tcW w:w="4567" w:type="dxa"/>
          </w:tcPr>
          <w:p w14:paraId="40046E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T</w:t>
            </w:r>
            <w:r>
              <w:rPr>
                <w:rFonts w:hint="default" w:ascii="Times New Roman" w:hAnsi="Times New Roman" w:cs="Times New Roman"/>
                <w:sz w:val="26"/>
                <w:szCs w:val="26"/>
                <w:lang w:val="vi-VN"/>
              </w:rPr>
              <w:t>iếp thu việc tách “hình thức hỗ trợ” và “mức hỗ trợ” thành 02 khoản riêng.</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Tuy nhiên, không quy định cứng một tỷ lệ % cố định cho toàn bộ 04 nhóm nội dung hỗ trợ (a,b,c,d khoản 1 Điều 12), vì sẽ rất khó khả thi do khác biệt lớn giữa: hạ tầng thiết yếu vùng nguyên liệu, logistics, máy móc thiết bị, hạ tầng chuyển đổi xanh</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số hóa; đồng thời khác biệt theo vùng, ngành hàng và khả năng đối ứng của chủ thể.</w:t>
            </w:r>
          </w:p>
        </w:tc>
      </w:tr>
      <w:tr w14:paraId="10DD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1F8920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49CBA1E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a) </w:t>
            </w:r>
            <w:r>
              <w:rPr>
                <w:rFonts w:hint="default" w:ascii="Times New Roman" w:hAnsi="Times New Roman" w:eastAsia="Times New Roman" w:cs="Times New Roman"/>
                <w:sz w:val="26"/>
                <w:szCs w:val="26"/>
                <w:lang w:val="nl-NL" w:eastAsia="vi-VN"/>
              </w:rPr>
              <w:t>Việc</w:t>
            </w:r>
            <w:r>
              <w:rPr>
                <w:rFonts w:hint="default" w:ascii="Times New Roman" w:hAnsi="Times New Roman" w:eastAsia="Times New Roman" w:cs="Times New Roman"/>
                <w:sz w:val="26"/>
                <w:szCs w:val="26"/>
                <w:lang w:val="vi-VN" w:eastAsia="vi-VN"/>
              </w:rPr>
              <w:t xml:space="preserve"> hỗ trợ đầu tư phát triển kết cấu hạ tầng, trang thiết bị từ nguồn vốn đầu tư công được thực hiện dưới hình thức chương trình, dự án theo quy định của pháp luật về đầu tư công.</w:t>
            </w:r>
            <w:r>
              <w:rPr>
                <w:rFonts w:hint="default" w:ascii="Times New Roman" w:hAnsi="Times New Roman" w:eastAsia="Times New Roman" w:cs="Times New Roman"/>
                <w:sz w:val="26"/>
                <w:szCs w:val="26"/>
                <w:lang w:eastAsia="vi-VN"/>
              </w:rPr>
              <w:t xml:space="preserve"> </w:t>
            </w:r>
            <w:r>
              <w:rPr>
                <w:rFonts w:hint="default" w:ascii="Times New Roman" w:hAnsi="Times New Roman" w:eastAsia="Times New Roman" w:cs="Times New Roman"/>
                <w:sz w:val="26"/>
                <w:szCs w:val="26"/>
                <w:lang w:val="nl-NL" w:eastAsia="vi-VN"/>
              </w:rPr>
              <w:t>Việc</w:t>
            </w:r>
            <w:r>
              <w:rPr>
                <w:rFonts w:hint="default" w:ascii="Times New Roman" w:hAnsi="Times New Roman" w:eastAsia="Times New Roman" w:cs="Times New Roman"/>
                <w:sz w:val="26"/>
                <w:szCs w:val="26"/>
                <w:lang w:val="vi-VN" w:eastAsia="vi-VN"/>
              </w:rPr>
              <w:t xml:space="preserve"> hỗ trợ đầu tư phát triển kết cấu hạ tầng, trang thiết bị từ ngân sách nhà nước, nguồn vốn tín dụng ưu đãi, nguồn vốn huy động, tài trợ hợp pháp</w:t>
            </w:r>
            <w:r>
              <w:rPr>
                <w:rFonts w:hint="default" w:ascii="Times New Roman" w:hAnsi="Times New Roman" w:eastAsia="Times New Roman" w:cs="Times New Roman"/>
                <w:sz w:val="26"/>
                <w:szCs w:val="26"/>
                <w:lang w:val="nl-NL" w:eastAsia="vi-VN"/>
              </w:rPr>
              <w:t xml:space="preserve"> từ</w:t>
            </w:r>
            <w:r>
              <w:rPr>
                <w:rFonts w:hint="default" w:ascii="Times New Roman" w:hAnsi="Times New Roman" w:eastAsia="Times New Roman" w:cs="Times New Roman"/>
                <w:sz w:val="26"/>
                <w:szCs w:val="26"/>
                <w:lang w:val="vi-VN" w:eastAsia="vi-VN"/>
              </w:rPr>
              <w:t xml:space="preserve"> cá nhân, tổ chức trong nước và nước ngoài được thực hiện theo quy định của pháp luật có liên quan.</w:t>
            </w:r>
          </w:p>
          <w:p w14:paraId="7805D00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120BA2E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Ngân hàng Nhà nước Việt Nam; </w:t>
            </w:r>
            <w:r>
              <w:rPr>
                <w:rFonts w:hint="default" w:ascii="Times New Roman" w:hAnsi="Times New Roman" w:cs="Times New Roman"/>
                <w:sz w:val="26"/>
                <w:szCs w:val="26"/>
                <w:lang w:val="vi-VN"/>
              </w:rPr>
              <w:t>UBND tỉnh Lâm Đồng</w:t>
            </w:r>
          </w:p>
        </w:tc>
        <w:tc>
          <w:tcPr>
            <w:tcW w:w="5475" w:type="dxa"/>
          </w:tcPr>
          <w:p w14:paraId="357005D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Đ</w:t>
            </w:r>
            <w:r>
              <w:rPr>
                <w:rFonts w:hint="default" w:ascii="Times New Roman" w:hAnsi="Times New Roman" w:cs="Times New Roman"/>
                <w:sz w:val="26"/>
                <w:szCs w:val="26"/>
                <w:lang w:val="vi-VN"/>
              </w:rPr>
              <w:t>ề nghị chỉnh sửa theo các hướng sau:</w:t>
            </w:r>
          </w:p>
          <w:p w14:paraId="48DF2E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i/>
                <w:iCs/>
                <w:sz w:val="26"/>
                <w:szCs w:val="26"/>
                <w:lang w:val="vi-VN"/>
              </w:rPr>
              <w:t>“Việc hỗ trợ đầu tư phát triển kết cấu hạ tầng, trang thiết bị từ ngân sách nhà nước và nguồn vốn huy động, tài trợ hợp pháp từ cá nhân, tổ chức trong nước và nước ngoài được thực hiện theo quy định của pháp luật có liên quan”</w:t>
            </w:r>
            <w:r>
              <w:rPr>
                <w:rFonts w:hint="default" w:ascii="Times New Roman" w:hAnsi="Times New Roman" w:cs="Times New Roman"/>
                <w:sz w:val="26"/>
                <w:szCs w:val="26"/>
                <w:lang w:val="vi-VN"/>
              </w:rPr>
              <w:t>, để phù hợp với quy định tại khoản 2 Điều này về nguồn hỗ trợ “Ngân sách nhà nước theo phân cấp ngân sách hiện hành, bao gồm vốn đầu tư công và kinh phí sự nghiệp; lồng ghép từ chương trình mục tiêu quốc gia và các chương trình, dự án hợp pháp khác theo quy định của pháp luật.”</w:t>
            </w:r>
          </w:p>
          <w:p w14:paraId="52E5864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i/>
                <w:iCs/>
                <w:sz w:val="26"/>
                <w:szCs w:val="26"/>
              </w:rPr>
            </w:pPr>
            <w:r>
              <w:rPr>
                <w:rFonts w:hint="default" w:ascii="Times New Roman" w:hAnsi="Times New Roman" w:cs="Times New Roman"/>
                <w:i/>
                <w:iCs/>
                <w:sz w:val="26"/>
                <w:szCs w:val="26"/>
              </w:rPr>
              <w:t>“Việc hỗ trợ đầu tư phát triển kết cấu hạ tầng, trang thiết bị từ nguồn vốn đầu tư công được thực hiện dưới hình thức</w:t>
            </w:r>
            <w:r>
              <w:rPr>
                <w:rFonts w:hint="default" w:ascii="Times New Roman" w:hAnsi="Times New Roman" w:cs="Times New Roman"/>
                <w:i/>
                <w:iCs/>
                <w:sz w:val="26"/>
                <w:szCs w:val="26"/>
                <w:lang w:val="vi-VN"/>
              </w:rPr>
              <w:t xml:space="preserve"> c</w:t>
            </w:r>
            <w:r>
              <w:rPr>
                <w:rFonts w:hint="default" w:ascii="Times New Roman" w:hAnsi="Times New Roman" w:cs="Times New Roman"/>
                <w:i/>
                <w:iCs/>
                <w:sz w:val="26"/>
                <w:szCs w:val="26"/>
              </w:rPr>
              <w:t xml:space="preserve">hương trình, dự án theo quy định của pháp luật về đầu tư công (áp dụng đối với các nội dung quy định tại điểm a, b khoản này). </w:t>
            </w:r>
          </w:p>
          <w:p w14:paraId="1436A6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i/>
                <w:iCs/>
                <w:sz w:val="26"/>
                <w:szCs w:val="26"/>
              </w:rPr>
              <w:t>“Việc hỗ trợ từ ngân sách nhà nước, nguồn vốn tín dụng ưu đãi, nguồn vốn huy động, tài trợ hợp pháp của các tổ chức, cá nhân trong và ngoài nước được thực hiện theo quy định của pháp luật có liên quan.”</w:t>
            </w:r>
          </w:p>
          <w:p w14:paraId="6375F8B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Lý do: Nội dung tại điểm c quy định hỗ trợ máy móc, trang thiết bị, công nghệ phục vụ liên kết chuỗm giá trị là các yếu tố không mang tính chất đầu tư xây dựng. Do đó, việc không áp dụng hình thức chương trình, dự án theo quy định của pháp luật về đầu tư công đối với nội dung này sẽ tạo thuận lợi hơn trong quá trình triển khai thực tế.</w:t>
            </w:r>
          </w:p>
        </w:tc>
        <w:tc>
          <w:tcPr>
            <w:tcW w:w="4567" w:type="dxa"/>
          </w:tcPr>
          <w:p w14:paraId="3FD2B10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chỉnh sửa tại Khoản 3, Điều 12</w:t>
            </w:r>
          </w:p>
        </w:tc>
      </w:tr>
      <w:tr w14:paraId="032D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3B657B9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F42421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6BEE53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Môi trường tỉnh </w:t>
            </w:r>
            <w:r>
              <w:rPr>
                <w:rFonts w:hint="default" w:ascii="Times New Roman" w:hAnsi="Times New Roman" w:cs="Times New Roman"/>
                <w:sz w:val="26"/>
                <w:szCs w:val="26"/>
              </w:rPr>
              <w:t>Nghệ An</w:t>
            </w:r>
          </w:p>
        </w:tc>
        <w:tc>
          <w:tcPr>
            <w:tcW w:w="5475" w:type="dxa"/>
          </w:tcPr>
          <w:p w14:paraId="30F6279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Đối với nội dung hỗ trợ tại điểm a khoản 1 Điều này, nhà nước thực hiện</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đầu tư 100% bằng nguồn vốn đầu tư công</w:t>
            </w:r>
            <w:r>
              <w:rPr>
                <w:rFonts w:hint="default" w:ascii="Times New Roman" w:hAnsi="Times New Roman" w:cs="Times New Roman"/>
                <w:sz w:val="26"/>
                <w:szCs w:val="26"/>
                <w:lang w:val="en-US"/>
              </w:rPr>
              <w:t>.</w:t>
            </w:r>
          </w:p>
          <w:p w14:paraId="4BE9D02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Đối với chính sách hỗ trợ còn lại được quy định tại điểm b, c, d khoản 1</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Điều này ngân sách nhà nước hỗ trợ tối đa 80% kinh phí thực hiện.</w:t>
            </w:r>
          </w:p>
        </w:tc>
        <w:tc>
          <w:tcPr>
            <w:tcW w:w="4567" w:type="dxa"/>
          </w:tcPr>
          <w:p w14:paraId="6E59B97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chỉnh sửa tại Khoản 2, Điều 12.</w:t>
            </w:r>
          </w:p>
        </w:tc>
      </w:tr>
      <w:tr w14:paraId="7A38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895262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2CE4C46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b) Đối với một số hạng mục hạ tầng thiết yếu phát triển vùng nguyên liệu và liên kết chuỗi giá trị, nhà nước thực hiện đầu tư 100% bằng nguồn vốn đầu tư công và giao cho hợp tác xã hoặc chủ thể liên kết quản lý, khai thác, sử dụng theo quy định của pháp luật.</w:t>
            </w:r>
          </w:p>
        </w:tc>
        <w:tc>
          <w:tcPr>
            <w:tcW w:w="1898" w:type="dxa"/>
          </w:tcPr>
          <w:p w14:paraId="5F4EE23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Bắc Ninh</w:t>
            </w:r>
          </w:p>
        </w:tc>
        <w:tc>
          <w:tcPr>
            <w:tcW w:w="5475" w:type="dxa"/>
          </w:tcPr>
          <w:p w14:paraId="7049CA3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Tại điểm b khoản 3 Điều 12 Đề nghị đơn vị soạn thảo nghiên cứu bỏ cụm từ “một số” đứng sau cụm từ “Đối với” và viết lại thành: “Đối với hạng mục hạ tầng thiết yếu phát triển vùng nguyên liệu và liên kết chuỗi giá trị, nhà nước thực hiện đầu tư 100% bằng nguồn vốn đầu tư công và giao cho hợp tác xã hoặc chủ thể liên kết quản lý, khai thác, sử dụng theo quy định của pháp luật”.</w:t>
            </w:r>
          </w:p>
        </w:tc>
        <w:tc>
          <w:tcPr>
            <w:tcW w:w="4567" w:type="dxa"/>
            <w:vMerge w:val="restart"/>
          </w:tcPr>
          <w:p w14:paraId="59DFCFE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chỉnh sửa tại Điểm đ, Khoan 4, Điều 12 như sau: “Việc quản lý, khai thác, sử dụng tài sản hình thành từ nguồn vốn đầu tư công thực hiện theo quy định của pháp luật về đầu tư công, quản lý, sử dụng tài sản công và pháp luật có liên quan. Căn cứ tính chất công trình, phạm vi phục vụ và nhu cầu thực tế của dự án liên kết, cơ quan có thẩm quyền quyết định giao cơ quan, tổ chức, đơn vị quản lý, khai thác hoặc giao quyền quản lý, khai thác, sử dụng theo quy định của pháp luật, bảo đảm sử dụng đúng mục đích, hiệu quả, phục vụ phát triển vùng nguyên liệu và liên kết chuỗi giá trị; không làm thay đổi chế độ sở hữu đối với tài sản công.”</w:t>
            </w:r>
          </w:p>
        </w:tc>
      </w:tr>
      <w:tr w14:paraId="3FB0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E92235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176369C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5BDD933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TP Hà Nội</w:t>
            </w:r>
          </w:p>
        </w:tc>
        <w:tc>
          <w:tcPr>
            <w:tcW w:w="5475" w:type="dxa"/>
          </w:tcPr>
          <w:p w14:paraId="5E6681D8">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Đề nghị cơ quan soạn thảo nghiên cứu sửa đổi nội dung này, cụ thể như sau: “</w:t>
            </w:r>
            <w:r>
              <w:rPr>
                <w:rFonts w:hint="default" w:ascii="Times New Roman" w:hAnsi="Times New Roman" w:cs="Times New Roman"/>
                <w:i/>
                <w:iCs/>
                <w:sz w:val="26"/>
                <w:szCs w:val="26"/>
              </w:rPr>
              <w:t>b. Đối với một s</w:t>
            </w:r>
            <w:r>
              <w:rPr>
                <w:rFonts w:hint="default" w:ascii="Times New Roman" w:hAnsi="Times New Roman" w:cs="Times New Roman"/>
                <w:i/>
                <w:iCs/>
                <w:sz w:val="26"/>
                <w:szCs w:val="26"/>
                <w:lang w:val="vi-VN"/>
              </w:rPr>
              <w:t>ố</w:t>
            </w:r>
            <w:r>
              <w:rPr>
                <w:rFonts w:hint="default" w:ascii="Times New Roman" w:hAnsi="Times New Roman" w:cs="Times New Roman"/>
                <w:i/>
                <w:iCs/>
                <w:sz w:val="26"/>
                <w:szCs w:val="26"/>
              </w:rPr>
              <w:t xml:space="preserve"> hạng mục hạ tầng thiết yếu phát triển vùng nguyên liệu và liên kết chuỗi giá trị, nhà nước thực hiện đầu tư 100% bằng nguồn vốn đầu tư công </w:t>
            </w:r>
            <w:r>
              <w:rPr>
                <w:rFonts w:hint="default" w:ascii="Times New Roman" w:hAnsi="Times New Roman" w:cs="Times New Roman"/>
                <w:b/>
                <w:bCs/>
                <w:i/>
                <w:iCs/>
                <w:sz w:val="26"/>
                <w:szCs w:val="26"/>
              </w:rPr>
              <w:t>và giao cho địa phương quản lý, đáp ứng nhu cầu hạ tầng dùng chung tại địa phương</w:t>
            </w:r>
            <w:r>
              <w:rPr>
                <w:rFonts w:hint="default" w:ascii="Times New Roman" w:hAnsi="Times New Roman" w:cs="Times New Roman"/>
                <w:sz w:val="26"/>
                <w:szCs w:val="26"/>
              </w:rPr>
              <w:t>”.</w:t>
            </w:r>
          </w:p>
        </w:tc>
        <w:tc>
          <w:tcPr>
            <w:tcW w:w="4567" w:type="dxa"/>
            <w:vMerge w:val="continue"/>
          </w:tcPr>
          <w:p w14:paraId="1D9030E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p>
        </w:tc>
      </w:tr>
      <w:tr w14:paraId="4440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7B6467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7BB5A2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797FA2A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Sở </w:t>
            </w:r>
            <w:r>
              <w:rPr>
                <w:rFonts w:hint="default" w:ascii="Times New Roman" w:hAnsi="Times New Roman" w:cs="Times New Roman"/>
                <w:sz w:val="26"/>
                <w:szCs w:val="26"/>
              </w:rPr>
              <w:t>NN&amp;MT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TP</w:t>
            </w: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Hải Phòng</w:t>
            </w:r>
          </w:p>
        </w:tc>
        <w:tc>
          <w:tcPr>
            <w:tcW w:w="5475" w:type="dxa"/>
          </w:tcPr>
          <w:p w14:paraId="3090AC6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điểm b, mục 3</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Điều 12. Chính sách hỗ trợ đầu tư phát triển kết cấu hạ tầng, trang thiết bị, cơ giới hóa có nêu: “Đối với một số hạng mục hạ tầng thiết yếu phát triển vùng nguyên liệu và liên kết chuỗi giá trị, nhà nước thực hiện đầu tư 100% bằng nguồn vốn đầu tư công và giao cho hợp tác xã hoặc chủ thể liên kết quản lý, khai thác, sử dụng theo quy định của pháp 2 luật”. Nội dung này được hiểu là: “Hạ tầng được hình thành từ vốn ngân sách nhưng giao cho HTX hoặc chủ thể liên kết”. Đề nghị Ban soạn thảo cần cân nhắc kỹ nội dung này.</w:t>
            </w:r>
          </w:p>
        </w:tc>
        <w:tc>
          <w:tcPr>
            <w:tcW w:w="4567" w:type="dxa"/>
            <w:vMerge w:val="continue"/>
          </w:tcPr>
          <w:p w14:paraId="3931BD8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p>
        </w:tc>
      </w:tr>
      <w:tr w14:paraId="2DA6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2E3B65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24D78D6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7C58D29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Môi trường </w:t>
            </w:r>
            <w:r>
              <w:rPr>
                <w:rFonts w:hint="default" w:ascii="Times New Roman" w:hAnsi="Times New Roman" w:cs="Times New Roman"/>
                <w:sz w:val="26"/>
                <w:szCs w:val="26"/>
              </w:rPr>
              <w:t>Hà Tĩnh</w:t>
            </w:r>
          </w:p>
        </w:tc>
        <w:tc>
          <w:tcPr>
            <w:tcW w:w="5475" w:type="dxa"/>
          </w:tcPr>
          <w:p w14:paraId="68BB628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Tại điểm b Khoản 3 Điều 12 quy định </w:t>
            </w:r>
            <w:r>
              <w:rPr>
                <w:rFonts w:hint="default" w:ascii="Times New Roman" w:hAnsi="Times New Roman" w:cs="Times New Roman"/>
                <w:i/>
                <w:iCs/>
                <w:sz w:val="26"/>
                <w:szCs w:val="26"/>
                <w:lang w:val="vi-VN"/>
              </w:rPr>
              <w:t xml:space="preserve">“Đối với </w:t>
            </w:r>
            <w:r>
              <w:rPr>
                <w:rFonts w:hint="default" w:ascii="Times New Roman" w:hAnsi="Times New Roman" w:cs="Times New Roman"/>
                <w:b/>
                <w:bCs/>
                <w:i/>
                <w:iCs/>
                <w:sz w:val="26"/>
                <w:szCs w:val="26"/>
                <w:lang w:val="vi-VN"/>
              </w:rPr>
              <w:t xml:space="preserve">một số </w:t>
            </w:r>
            <w:r>
              <w:rPr>
                <w:rFonts w:hint="default" w:ascii="Times New Roman" w:hAnsi="Times New Roman" w:cs="Times New Roman"/>
                <w:i/>
                <w:iCs/>
                <w:sz w:val="26"/>
                <w:szCs w:val="26"/>
                <w:lang w:val="vi-VN"/>
              </w:rPr>
              <w:t xml:space="preserve">hạng mục hạ tầng thiết yếu phát triển vùng nguyên liệu và liên kết chuỗi giá trị, </w:t>
            </w:r>
            <w:r>
              <w:rPr>
                <w:rFonts w:hint="default" w:ascii="Times New Roman" w:hAnsi="Times New Roman" w:cs="Times New Roman"/>
                <w:b/>
                <w:bCs/>
                <w:i/>
                <w:iCs/>
                <w:sz w:val="26"/>
                <w:szCs w:val="26"/>
                <w:lang w:val="vi-VN"/>
              </w:rPr>
              <w:t xml:space="preserve">nhà nước thực hiện đầu tư 100% bằng nguồn vốn đầu tư công và giao cho hợp tác xã hoặc chủ thể liên kết quản lý, khai thác, sử dụng </w:t>
            </w:r>
            <w:r>
              <w:rPr>
                <w:rFonts w:hint="default" w:ascii="Times New Roman" w:hAnsi="Times New Roman" w:cs="Times New Roman"/>
                <w:i/>
                <w:iCs/>
                <w:sz w:val="26"/>
                <w:szCs w:val="26"/>
                <w:lang w:val="vi-VN"/>
              </w:rPr>
              <w:t xml:space="preserve">theo quy định của pháp luật”. </w:t>
            </w:r>
            <w:r>
              <w:rPr>
                <w:rFonts w:hint="default" w:ascii="Times New Roman" w:hAnsi="Times New Roman" w:cs="Times New Roman"/>
                <w:sz w:val="26"/>
                <w:szCs w:val="26"/>
                <w:lang w:val="vi-VN"/>
              </w:rPr>
              <w:t xml:space="preserve">Trong khi đó, tại khoản 3, Điều 17 về Quyền của các bên tham gia liên kết </w:t>
            </w:r>
            <w:r>
              <w:rPr>
                <w:rFonts w:hint="default" w:ascii="Times New Roman" w:hAnsi="Times New Roman" w:cs="Times New Roman"/>
                <w:i/>
                <w:iCs/>
                <w:sz w:val="26"/>
                <w:szCs w:val="26"/>
                <w:lang w:val="vi-VN"/>
              </w:rPr>
              <w:t xml:space="preserve">“Được sử dụng tài sản hợp pháp hình thành trong quá trình liên kết: tài sản đầu tư trên đất, tài sản hình thành từ vốn vay và </w:t>
            </w:r>
            <w:r>
              <w:rPr>
                <w:rFonts w:hint="default" w:ascii="Times New Roman" w:hAnsi="Times New Roman" w:cs="Times New Roman"/>
                <w:b/>
                <w:bCs/>
                <w:i/>
                <w:iCs/>
                <w:sz w:val="26"/>
                <w:szCs w:val="26"/>
                <w:lang w:val="vi-VN"/>
              </w:rPr>
              <w:t xml:space="preserve">tài sản được Nhà nước hỗ trợ (nếu có) để bảo đảm vay vốn tại các tổ chức tín dụng </w:t>
            </w:r>
            <w:r>
              <w:rPr>
                <w:rFonts w:hint="default" w:ascii="Times New Roman" w:hAnsi="Times New Roman" w:cs="Times New Roman"/>
                <w:i/>
                <w:iCs/>
                <w:sz w:val="26"/>
                <w:szCs w:val="26"/>
                <w:lang w:val="vi-VN"/>
              </w:rPr>
              <w:t>theo quy định của pháp luật.”</w:t>
            </w:r>
            <w:r>
              <w:rPr>
                <w:rFonts w:hint="default" w:ascii="Times New Roman" w:hAnsi="Times New Roman" w:cs="Times New Roman"/>
                <w:sz w:val="26"/>
                <w:szCs w:val="26"/>
                <w:lang w:val="vi-VN"/>
              </w:rPr>
              <w:t xml:space="preserve">. Đề nghị Cơ quan soạn thảo xem xét: </w:t>
            </w:r>
          </w:p>
          <w:p w14:paraId="682A2C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 Làm rõ nội dung chỉ tài sản thuộc quyền sở hữu hợp pháp của chủ thể mới được dùng làm tài sản bảo đảm; trường hợp là tài sản công hoặc tài sản được giao quản lý thì không được thế chấp; </w:t>
            </w:r>
          </w:p>
          <w:p w14:paraId="769365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Quy định rõ nội dung “</w:t>
            </w:r>
            <w:r>
              <w:rPr>
                <w:rFonts w:hint="default" w:ascii="Times New Roman" w:hAnsi="Times New Roman" w:cs="Times New Roman"/>
                <w:b/>
                <w:bCs/>
                <w:i/>
                <w:iCs/>
                <w:sz w:val="26"/>
                <w:szCs w:val="26"/>
                <w:lang w:val="vi-VN"/>
              </w:rPr>
              <w:t xml:space="preserve">một số </w:t>
            </w:r>
            <w:r>
              <w:rPr>
                <w:rFonts w:hint="default" w:ascii="Times New Roman" w:hAnsi="Times New Roman" w:cs="Times New Roman"/>
                <w:i/>
                <w:iCs/>
                <w:sz w:val="26"/>
                <w:szCs w:val="26"/>
                <w:lang w:val="vi-VN"/>
              </w:rPr>
              <w:t>hạng mục …nhà nước thực hiện đầu tư 100% bằng nguồn vốn đầu tư công…</w:t>
            </w:r>
            <w:r>
              <w:rPr>
                <w:rFonts w:hint="default" w:ascii="Times New Roman" w:hAnsi="Times New Roman" w:cs="Times New Roman"/>
                <w:sz w:val="26"/>
                <w:szCs w:val="26"/>
                <w:lang w:val="vi-VN"/>
              </w:rPr>
              <w:t>” là hạng mục nào?</w:t>
            </w:r>
          </w:p>
        </w:tc>
        <w:tc>
          <w:tcPr>
            <w:tcW w:w="4567" w:type="dxa"/>
          </w:tcPr>
          <w:p w14:paraId="0F96F7A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 xml:space="preserve">hông </w:t>
            </w:r>
            <w:r>
              <w:rPr>
                <w:rFonts w:hint="default" w:ascii="Times New Roman" w:hAnsi="Times New Roman" w:cs="Times New Roman"/>
                <w:sz w:val="26"/>
                <w:szCs w:val="26"/>
                <w:lang w:val="en-US"/>
              </w:rPr>
              <w:t>tiếp thu kiến nghị</w:t>
            </w:r>
            <w:r>
              <w:rPr>
                <w:rFonts w:hint="default" w:ascii="Times New Roman" w:hAnsi="Times New Roman" w:cs="Times New Roman"/>
                <w:sz w:val="26"/>
                <w:szCs w:val="26"/>
                <w:lang w:val="vi-VN"/>
              </w:rPr>
              <w:t xml:space="preserve"> quy định bổ sung trong Nghị định này nội dung về điều kiện tài sản được sử dụng làm tài sản bảo đảm vay vốn hoặc giới hạn việc thế chấp tài sản công, vì các nội dung này đã được điều chỉnh bởi pháp luật về dân sự, quản lý, sử dụng tài sản công, hợp tác xã, tín dụng và pháp luật khác có liên quan. Khoản 3 Điều 17 đã quy định nguyên tắc: việc sử dụng tài sản để bảo đảm vay vốn được thực hiện “theo quy định của pháp luật”, do đó bảo đảm tính thống nhất trong áp dụng.</w:t>
            </w:r>
          </w:p>
        </w:tc>
      </w:tr>
      <w:tr w14:paraId="7C3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42E42FA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4704ACA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c) </w:t>
            </w:r>
            <w:r>
              <w:rPr>
                <w:rFonts w:hint="default" w:ascii="Times New Roman" w:hAnsi="Times New Roman" w:eastAsia="Times New Roman" w:cs="Times New Roman"/>
                <w:sz w:val="26"/>
                <w:szCs w:val="26"/>
                <w:lang w:val="nl-NL" w:eastAsia="vi-VN"/>
              </w:rPr>
              <w:t xml:space="preserve">Mức kinh phí hỗ trợ cụ thể thực hiện từng chính sách do bộ, cơ quan trung ương, Hội đồng nhân dân các cấp xem xét, quyết định hoặc trình cấp có thẩm quyền xem xét, quyết định phù hợp với định hướng ưu tiên và khả năng cân đối nguồn lực trong từng thời kỳ </w:t>
            </w:r>
            <w:r>
              <w:rPr>
                <w:rFonts w:hint="default" w:ascii="Times New Roman" w:hAnsi="Times New Roman" w:eastAsia="Times New Roman" w:cs="Times New Roman"/>
                <w:sz w:val="26"/>
                <w:szCs w:val="26"/>
                <w:lang w:eastAsia="vi-VN"/>
              </w:rPr>
              <w:t>và quy định của pháp luật.</w:t>
            </w:r>
          </w:p>
        </w:tc>
        <w:tc>
          <w:tcPr>
            <w:tcW w:w="1898" w:type="dxa"/>
          </w:tcPr>
          <w:p w14:paraId="195F4E3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Thái Nguyên</w:t>
            </w:r>
            <w:r>
              <w:rPr>
                <w:rFonts w:hint="default" w:ascii="Times New Roman" w:hAnsi="Times New Roman" w:cs="Times New Roman"/>
                <w:sz w:val="26"/>
                <w:szCs w:val="26"/>
              </w:rPr>
              <w:t>; Nghệ An</w:t>
            </w:r>
          </w:p>
        </w:tc>
        <w:tc>
          <w:tcPr>
            <w:tcW w:w="5475" w:type="dxa"/>
          </w:tcPr>
          <w:p w14:paraId="78496B6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“Mức kinh phí hỗ trợ cụ thể thực hiện từng chính sách do bộ, cơ quan Trung ương, Hội đồng nhân dân cấp tỉnh xem xét, quyết định.”</w:t>
            </w:r>
          </w:p>
        </w:tc>
        <w:tc>
          <w:tcPr>
            <w:tcW w:w="4567" w:type="dxa"/>
          </w:tcPr>
          <w:p w14:paraId="33A92D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3AC7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4F2F44C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70CBABC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58FC254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Trung tâm Khuyến nông Quốc gia</w:t>
            </w:r>
          </w:p>
        </w:tc>
        <w:tc>
          <w:tcPr>
            <w:tcW w:w="5475" w:type="dxa"/>
          </w:tcPr>
          <w:p w14:paraId="64E2E3B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Nâng mức hỗ trợ đầu tư máy móc, công nghệ số cho HTX vùng đặc biệt khó khăn lên 90%-100%.</w:t>
            </w:r>
          </w:p>
        </w:tc>
        <w:tc>
          <w:tcPr>
            <w:tcW w:w="4567" w:type="dxa"/>
          </w:tcPr>
          <w:p w14:paraId="7D4012E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Dự thảo đã quy định ưu tiên hỗ trợ cao hơn đối với vùng khó khăn phù hợp khả năng cân đối ngân sách.</w:t>
            </w:r>
          </w:p>
        </w:tc>
      </w:tr>
      <w:tr w14:paraId="53A95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2DA08826">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restart"/>
          </w:tcPr>
          <w:p w14:paraId="59EA94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eastAsia="vi-VN"/>
              </w:rPr>
            </w:pPr>
            <w:r>
              <w:rPr>
                <w:rFonts w:hint="default" w:ascii="Times New Roman" w:hAnsi="Times New Roman" w:eastAsia="Times New Roman" w:cs="Times New Roman"/>
                <w:b/>
                <w:bCs/>
                <w:sz w:val="26"/>
                <w:szCs w:val="26"/>
                <w:lang w:eastAsia="vi-VN"/>
              </w:rPr>
              <w:t xml:space="preserve"> Điều 13. Chính sách hỗ trợ phát triển sản xuất, mở rộng thị trường và nâng cao giá trị gia tăng</w:t>
            </w:r>
          </w:p>
        </w:tc>
        <w:tc>
          <w:tcPr>
            <w:tcW w:w="1898" w:type="dxa"/>
            <w:shd w:val="clear" w:color="auto" w:fill="auto"/>
            <w:vAlign w:val="top"/>
          </w:tcPr>
          <w:p w14:paraId="1740E63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Bộ Công Thương</w:t>
            </w:r>
          </w:p>
        </w:tc>
        <w:tc>
          <w:tcPr>
            <w:tcW w:w="5475" w:type="dxa"/>
            <w:shd w:val="clear" w:color="auto" w:fill="auto"/>
            <w:vAlign w:val="top"/>
          </w:tcPr>
          <w:p w14:paraId="2FCBAE7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 xml:space="preserve">Tại Điều </w:t>
            </w:r>
            <w:r>
              <w:rPr>
                <w:rFonts w:hint="default" w:ascii="Times New Roman" w:hAnsi="Times New Roman" w:cs="Times New Roman"/>
                <w:sz w:val="26"/>
                <w:szCs w:val="26"/>
                <w:lang w:val="vi-VN"/>
              </w:rPr>
              <w:t xml:space="preserve">13 </w:t>
            </w:r>
            <w:r>
              <w:rPr>
                <w:rFonts w:hint="default" w:ascii="Times New Roman" w:hAnsi="Times New Roman" w:cs="Times New Roman"/>
                <w:sz w:val="26"/>
                <w:szCs w:val="26"/>
              </w:rPr>
              <w:t>của Dự thảo Nghị định, đề nghị đơn vị soạn thảo rà soát kỹ nhằm tránh sự trùng lặp các chính sách đã được hỗ trợ đầu tư theo Chương trình mục tiêu quốc gia xây dựng nông thôn mới, giảm nghèo bền vũng và phát triển kinh tế - xã hội vùng đồng bào dân tộc thiều số và miền núi giai đoạn 2026-2035.</w:t>
            </w:r>
          </w:p>
        </w:tc>
        <w:tc>
          <w:tcPr>
            <w:tcW w:w="4567" w:type="dxa"/>
          </w:tcPr>
          <w:p w14:paraId="33F185D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Dự thảo </w:t>
            </w:r>
            <w:r>
              <w:rPr>
                <w:rFonts w:hint="default" w:ascii="Times New Roman" w:hAnsi="Times New Roman" w:cs="Times New Roman"/>
                <w:sz w:val="26"/>
                <w:szCs w:val="26"/>
                <w:lang w:val="vi-VN"/>
              </w:rPr>
              <w:t>Nghị định đã được thiết kế theo nguyên tắc: không hỗ trợ trùng lặp cho cùng một nội dung từ ngân sách nhà nước nhưng cho phép lồng ghép nguồn lực từ các chương trình, dự án hợp pháp khác để nâng cao hiệu quả đầu tư và phù hợp điều kiện thực tiễn của địa phương. Nội dung này đã được thể hiện tại khoản 5 và khoản 6 Điều 10 về nguyên tắc hỗ trợ; đồng thời khoản 2 Điều 13 cũng quy định rõ nguồn hỗ trợ được lồng ghép từ chương trình mục tiêu quốc gia, chương trình khuyến nông và các chương trình, dự án hợp pháp khác theo quy định của pháp luật.</w:t>
            </w:r>
          </w:p>
        </w:tc>
      </w:tr>
      <w:tr w14:paraId="7F9C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0B42598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14BDFF5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shd w:val="clear" w:color="auto" w:fill="auto"/>
            <w:vAlign w:val="top"/>
          </w:tcPr>
          <w:p w14:paraId="627BA25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Cục Trồng trọt và Bảo vệ thực vật</w:t>
            </w:r>
          </w:p>
        </w:tc>
        <w:tc>
          <w:tcPr>
            <w:tcW w:w="5475" w:type="dxa"/>
            <w:shd w:val="clear" w:color="auto" w:fill="auto"/>
            <w:vAlign w:val="top"/>
          </w:tcPr>
          <w:p w14:paraId="5DAFCB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Tại Điều 13  Đề nghị bổ sung: </w:t>
            </w:r>
          </w:p>
          <w:p w14:paraId="679D392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Hỗ trợ xây dựng và quản lý mã số vùng trồng, cơ sở đóng gói;</w:t>
            </w:r>
          </w:p>
          <w:p w14:paraId="4D33BA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 Hỗ trợ ứng dụng công nghệ số trong quản lý vùng nguyên liệu, nhật ký sản xuất điện tử, truy xuất nguồn gốc;</w:t>
            </w:r>
          </w:p>
          <w:p w14:paraId="484FFBF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 Hỗ trợ chứng nhận tiêu chuẩn chất lượng, an toàn thực phẩm, GAP, hữu cơ, kiểm dịch thực vật phục vụ xuất khẩu; </w:t>
            </w:r>
          </w:p>
          <w:p w14:paraId="1E590D5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Hỗ trợ sơ chế, bảo quản sau thu hoạch, kho lạnh, logistics nông sản;</w:t>
            </w:r>
          </w:p>
          <w:p w14:paraId="740EF71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rPr>
              <w:t xml:space="preserve"> - Hỗ trợ đào tạo kỹ năng quản trị chuỗi liên kết cho hợp tác xã, tổ hợp tác và nông dân.</w:t>
            </w:r>
          </w:p>
        </w:tc>
        <w:tc>
          <w:tcPr>
            <w:tcW w:w="4567" w:type="dxa"/>
          </w:tcPr>
          <w:p w14:paraId="645F29A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bổ sung dàn trải, tách thành nhiều nội dung hỗ trợ độc lập tại Điều 13, vì một số nội dung góp ý đã được bao quát trong các nhóm chính sách hỗ trợ hiện có hoặc thuộc phạm vi điều chỉnh của pháp luật chuyên ngành, chương trình, dự án khác.</w:t>
            </w:r>
          </w:p>
          <w:p w14:paraId="74D647E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Tuy nhiên, tiếp thu ý kiến góp ý, cơ quan soạn thảo sẽ rà soát, chỉnh lý Điều 13 theo hướng bổ sung, làm rõ trong phạm vi các nhóm nội dung hỗ trợ hiện hành.</w:t>
            </w:r>
          </w:p>
        </w:tc>
      </w:tr>
      <w:tr w14:paraId="02E5A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73828367">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2F058E5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1. Nội dung hỗ trợ:</w:t>
            </w:r>
          </w:p>
          <w:p w14:paraId="6426739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a) Phát triển sản xuất và nâng cao năng lực: Khuyến nông; đào tạo, tập huấn; chuyển giao khoa học kỹ thuật, công nghệ; hỗ trợ giống, vật tư phục vụ sản xuất theo chuỗi giá trị, tối đa không quá 03 vụ hoặc 03 chu kỳ sản xuất, thông qua các dịch vụ tập trung của hợp tác xã.</w:t>
            </w:r>
          </w:p>
          <w:p w14:paraId="6D4935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2C95A68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Sở Nông nghiệp và Môi trường</w:t>
            </w:r>
            <w:r>
              <w:rPr>
                <w:rFonts w:hint="default" w:ascii="Times New Roman" w:hAnsi="Times New Roman" w:cs="Times New Roman"/>
                <w:sz w:val="26"/>
                <w:szCs w:val="26"/>
                <w:lang w:val="en-US"/>
              </w:rPr>
              <w:t xml:space="preserve"> các</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tỉnh</w:t>
            </w:r>
            <w:r>
              <w:rPr>
                <w:rFonts w:hint="default" w:ascii="Times New Roman" w:hAnsi="Times New Roman" w:cs="Times New Roman"/>
                <w:sz w:val="26"/>
                <w:szCs w:val="26"/>
                <w:lang w:val="en-US"/>
              </w:rPr>
              <w:t>, TP:</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Quảng Ninh</w:t>
            </w:r>
            <w:r>
              <w:rPr>
                <w:rFonts w:hint="default" w:ascii="Times New Roman" w:hAnsi="Times New Roman" w:cs="Times New Roman"/>
                <w:sz w:val="26"/>
                <w:szCs w:val="26"/>
              </w:rPr>
              <w:t xml:space="preserve">; Lào Cai; </w:t>
            </w:r>
            <w:r>
              <w:rPr>
                <w:rFonts w:hint="default" w:ascii="Times New Roman" w:hAnsi="Times New Roman" w:cs="Times New Roman"/>
                <w:sz w:val="26"/>
                <w:szCs w:val="26"/>
                <w:lang w:val="vi-VN"/>
              </w:rPr>
              <w:t>TP Cần Thơ; UBND tỉnh</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Tây Ninh</w:t>
            </w:r>
            <w:r>
              <w:rPr>
                <w:rFonts w:hint="default" w:ascii="Times New Roman" w:hAnsi="Times New Roman" w:cs="Times New Roman"/>
                <w:sz w:val="26"/>
                <w:szCs w:val="26"/>
                <w:lang w:val="en-US"/>
              </w:rPr>
              <w:t>; Quảng Trị</w:t>
            </w:r>
          </w:p>
        </w:tc>
        <w:tc>
          <w:tcPr>
            <w:tcW w:w="5475" w:type="dxa"/>
          </w:tcPr>
          <w:p w14:paraId="2075AE9F">
            <w:pPr>
              <w:pStyle w:val="13"/>
              <w:keepNext w:val="0"/>
              <w:keepLines w:val="0"/>
              <w:pageBreakBefore w:val="0"/>
              <w:kinsoku/>
              <w:wordWrap/>
              <w:overflowPunct/>
              <w:topLinePunct w:val="0"/>
              <w:bidi w:val="0"/>
              <w:snapToGrid/>
              <w:spacing w:beforeAutospacing="0" w:after="0" w:afterAutospacing="0" w:line="240" w:lineRule="auto"/>
              <w:ind w:left="0"/>
              <w:jc w:val="left"/>
              <w:textAlignment w:val="auto"/>
              <w:rPr>
                <w:rFonts w:hint="default" w:ascii="Times New Roman" w:hAnsi="Times New Roman" w:cs="Times New Roman"/>
                <w:bCs/>
                <w:spacing w:val="-4"/>
                <w:sz w:val="26"/>
                <w:szCs w:val="26"/>
                <w:lang w:val="vi-VN"/>
              </w:rPr>
            </w:pPr>
            <w:r>
              <w:rPr>
                <w:rFonts w:hint="default" w:ascii="Times New Roman" w:hAnsi="Times New Roman" w:cs="Times New Roman"/>
                <w:bCs/>
                <w:spacing w:val="-4"/>
                <w:sz w:val="26"/>
                <w:szCs w:val="26"/>
                <w:lang w:val="vi-VN"/>
              </w:rPr>
              <w:t xml:space="preserve"> Đề nghị sửa hoặc thay thế cụm từ “thông qua các dịch vụ tập trung của hợp tác xã” theo hướng mở rộng chủ thể thực hiện như: </w:t>
            </w:r>
          </w:p>
          <w:p w14:paraId="5DB8D849">
            <w:pPr>
              <w:pStyle w:val="13"/>
              <w:keepNext w:val="0"/>
              <w:keepLines w:val="0"/>
              <w:pageBreakBefore w:val="0"/>
              <w:kinsoku/>
              <w:wordWrap/>
              <w:overflowPunct/>
              <w:topLinePunct w:val="0"/>
              <w:bidi w:val="0"/>
              <w:snapToGrid/>
              <w:spacing w:beforeAutospacing="0" w:after="0" w:afterAutospacing="0" w:line="240" w:lineRule="auto"/>
              <w:ind w:left="0"/>
              <w:jc w:val="left"/>
              <w:textAlignment w:val="auto"/>
              <w:rPr>
                <w:rFonts w:hint="default" w:ascii="Times New Roman" w:hAnsi="Times New Roman" w:cs="Times New Roman"/>
                <w:bCs/>
                <w:spacing w:val="-4"/>
                <w:sz w:val="26"/>
                <w:szCs w:val="26"/>
                <w:lang w:val="vi-VN"/>
              </w:rPr>
            </w:pPr>
            <w:r>
              <w:rPr>
                <w:rFonts w:hint="default" w:ascii="Times New Roman" w:hAnsi="Times New Roman" w:cs="Times New Roman"/>
                <w:bCs/>
                <w:spacing w:val="-4"/>
                <w:sz w:val="26"/>
                <w:szCs w:val="26"/>
                <w:lang w:val="vi-VN"/>
              </w:rPr>
              <w:t xml:space="preserve">“thông qua các dịch vụ tập trung của hợp tác xã hoặc các chủ thể tham gia liên kết trong chuỗi giá trị”; </w:t>
            </w:r>
          </w:p>
          <w:p w14:paraId="174E5026">
            <w:pPr>
              <w:pStyle w:val="13"/>
              <w:keepNext w:val="0"/>
              <w:keepLines w:val="0"/>
              <w:pageBreakBefore w:val="0"/>
              <w:kinsoku/>
              <w:wordWrap/>
              <w:overflowPunct/>
              <w:topLinePunct w:val="0"/>
              <w:bidi w:val="0"/>
              <w:snapToGrid/>
              <w:spacing w:beforeAutospacing="0" w:after="0" w:afterAutospacing="0" w:line="240" w:lineRule="auto"/>
              <w:ind w:left="0"/>
              <w:jc w:val="left"/>
              <w:textAlignment w:val="auto"/>
              <w:rPr>
                <w:rFonts w:hint="default" w:ascii="Times New Roman" w:hAnsi="Times New Roman" w:cs="Times New Roman"/>
                <w:bCs/>
                <w:spacing w:val="-4"/>
                <w:sz w:val="26"/>
                <w:szCs w:val="26"/>
                <w:lang w:val="vi-VN"/>
              </w:rPr>
            </w:pPr>
            <w:r>
              <w:rPr>
                <w:rFonts w:hint="default" w:ascii="Times New Roman" w:hAnsi="Times New Roman" w:cs="Times New Roman"/>
                <w:bCs/>
                <w:spacing w:val="-4"/>
                <w:sz w:val="26"/>
                <w:szCs w:val="26"/>
                <w:lang w:val="vi-VN"/>
              </w:rPr>
              <w:t xml:space="preserve">“thông qua các dịch vụ tập trung của Liên hiệp Hợp tác xã, hợp tác xã, tổ hợp tác”; </w:t>
            </w:r>
          </w:p>
          <w:p w14:paraId="32657D4D">
            <w:pPr>
              <w:pStyle w:val="13"/>
              <w:keepNext w:val="0"/>
              <w:keepLines w:val="0"/>
              <w:pageBreakBefore w:val="0"/>
              <w:kinsoku/>
              <w:wordWrap/>
              <w:overflowPunct/>
              <w:topLinePunct w:val="0"/>
              <w:bidi w:val="0"/>
              <w:snapToGrid/>
              <w:spacing w:beforeAutospacing="0" w:after="0" w:afterAutospacing="0" w:line="240" w:lineRule="auto"/>
              <w:ind w:left="0"/>
              <w:jc w:val="left"/>
              <w:textAlignment w:val="auto"/>
              <w:rPr>
                <w:rFonts w:hint="default" w:ascii="Times New Roman" w:hAnsi="Times New Roman" w:cs="Times New Roman"/>
                <w:bCs/>
                <w:spacing w:val="-4"/>
                <w:sz w:val="26"/>
                <w:szCs w:val="26"/>
                <w:lang w:val="vi-VN"/>
              </w:rPr>
            </w:pPr>
            <w:r>
              <w:rPr>
                <w:rFonts w:hint="default" w:ascii="Times New Roman" w:hAnsi="Times New Roman" w:cs="Times New Roman"/>
                <w:bCs/>
                <w:spacing w:val="-4"/>
                <w:sz w:val="26"/>
                <w:szCs w:val="26"/>
                <w:lang w:val="vi-VN"/>
              </w:rPr>
              <w:t xml:space="preserve">hoặc “ưu tiên thông qua dịch vụ tập trung của hợp tác xã”. </w:t>
            </w:r>
          </w:p>
          <w:p w14:paraId="7A84AEFD">
            <w:pPr>
              <w:pStyle w:val="13"/>
              <w:keepNext w:val="0"/>
              <w:keepLines w:val="0"/>
              <w:pageBreakBefore w:val="0"/>
              <w:kinsoku/>
              <w:wordWrap/>
              <w:overflowPunct/>
              <w:topLinePunct w:val="0"/>
              <w:bidi w:val="0"/>
              <w:snapToGrid/>
              <w:spacing w:beforeAutospacing="0" w:after="0" w:afterAutospacing="0" w:line="240" w:lineRule="auto"/>
              <w:ind w:left="0"/>
              <w:jc w:val="left"/>
              <w:textAlignment w:val="auto"/>
              <w:rPr>
                <w:rFonts w:hint="default" w:ascii="Times New Roman" w:hAnsi="Times New Roman" w:cs="Times New Roman"/>
                <w:bCs/>
                <w:spacing w:val="-4"/>
                <w:sz w:val="26"/>
                <w:szCs w:val="26"/>
              </w:rPr>
            </w:pPr>
            <w:r>
              <w:rPr>
                <w:rFonts w:hint="default" w:ascii="Times New Roman" w:hAnsi="Times New Roman" w:cs="Times New Roman"/>
                <w:bCs/>
                <w:spacing w:val="-4"/>
                <w:sz w:val="26"/>
                <w:szCs w:val="26"/>
                <w:lang w:val="vi-VN"/>
              </w:rPr>
              <w:t xml:space="preserve"> Một số ý kiến đề nghị bỏ hoàn toàn cụm từ “thông qua các dịch vụ tập trung của hợp tác xã”. </w:t>
            </w:r>
          </w:p>
          <w:p w14:paraId="4F3A0CB5">
            <w:pPr>
              <w:pStyle w:val="13"/>
              <w:keepNext w:val="0"/>
              <w:keepLines w:val="0"/>
              <w:pageBreakBefore w:val="0"/>
              <w:kinsoku/>
              <w:wordWrap/>
              <w:overflowPunct/>
              <w:topLinePunct w:val="0"/>
              <w:bidi w:val="0"/>
              <w:snapToGrid/>
              <w:spacing w:beforeAutospacing="0" w:after="0" w:afterAutospacing="0" w:line="240" w:lineRule="auto"/>
              <w:ind w:left="0"/>
              <w:jc w:val="left"/>
              <w:textAlignment w:val="auto"/>
              <w:rPr>
                <w:rFonts w:hint="default" w:ascii="Times New Roman" w:hAnsi="Times New Roman" w:cs="Times New Roman"/>
                <w:spacing w:val="-4"/>
                <w:sz w:val="26"/>
                <w:szCs w:val="26"/>
              </w:rPr>
            </w:pPr>
            <w:r>
              <w:rPr>
                <w:rFonts w:hint="default" w:ascii="Times New Roman" w:hAnsi="Times New Roman" w:cs="Times New Roman"/>
                <w:spacing w:val="-4"/>
                <w:sz w:val="26"/>
                <w:szCs w:val="26"/>
                <w:lang w:val="vi-VN"/>
              </w:rPr>
              <w:t>Lý do:</w:t>
            </w:r>
            <w:r>
              <w:rPr>
                <w:rFonts w:hint="default" w:ascii="Times New Roman" w:hAnsi="Times New Roman" w:cs="Times New Roman"/>
                <w:spacing w:val="-4"/>
                <w:sz w:val="26"/>
                <w:szCs w:val="26"/>
              </w:rPr>
              <w:t xml:space="preserve"> Quy định hiện hành mới tập trung vào hợp tác xã, chưa bao quát đầy đủ các mô hình chuỗi giá trị theo Điều 5 (bao gồm doanh nghiệp, hợp tác xã, tổ chức, cá nhân và các hình thức liên kết theo hợp đồng hoặc thỏa thuận).</w:t>
            </w:r>
            <w:r>
              <w:rPr>
                <w:rFonts w:hint="default" w:ascii="Times New Roman" w:hAnsi="Times New Roman" w:cs="Times New Roman"/>
                <w:spacing w:val="-4"/>
                <w:sz w:val="26"/>
                <w:szCs w:val="26"/>
                <w:lang w:val="vi-VN"/>
              </w:rPr>
              <w:t xml:space="preserve"> </w:t>
            </w:r>
            <w:r>
              <w:rPr>
                <w:rFonts w:hint="default" w:ascii="Times New Roman" w:hAnsi="Times New Roman" w:cs="Times New Roman"/>
                <w:spacing w:val="-4"/>
                <w:sz w:val="26"/>
                <w:szCs w:val="26"/>
              </w:rPr>
              <w:t xml:space="preserve">Việc bổ sung </w:t>
            </w:r>
            <w:r>
              <w:rPr>
                <w:rFonts w:hint="default" w:ascii="Times New Roman" w:hAnsi="Times New Roman" w:cs="Times New Roman"/>
                <w:i/>
                <w:spacing w:val="-4"/>
                <w:sz w:val="26"/>
                <w:szCs w:val="26"/>
              </w:rPr>
              <w:t>“các chủ thể tham gia liên kết trong chuỗi giá trị”</w:t>
            </w:r>
            <w:r>
              <w:rPr>
                <w:rFonts w:hint="default" w:ascii="Times New Roman" w:hAnsi="Times New Roman" w:cs="Times New Roman"/>
                <w:spacing w:val="-4"/>
                <w:sz w:val="26"/>
                <w:szCs w:val="26"/>
              </w:rPr>
              <w:t xml:space="preserve"> nhằm bảo đảm thống nhất với Điều 5, mở rộng phạm vi áp dụng, tăng tính linh hoạt trong thực hiện và phù hợp thực tiễn đa dạng của các mô hình liên kết sản xuất</w:t>
            </w:r>
            <w:r>
              <w:rPr>
                <w:rFonts w:hint="default" w:ascii="Times New Roman" w:hAnsi="Times New Roman" w:cs="Times New Roman"/>
                <w:spacing w:val="-4"/>
                <w:sz w:val="26"/>
                <w:szCs w:val="26"/>
                <w:lang w:val="vi-VN"/>
              </w:rPr>
              <w:t>-</w:t>
            </w:r>
            <w:r>
              <w:rPr>
                <w:rFonts w:hint="default" w:ascii="Times New Roman" w:hAnsi="Times New Roman" w:cs="Times New Roman"/>
                <w:spacing w:val="-4"/>
                <w:sz w:val="26"/>
                <w:szCs w:val="26"/>
              </w:rPr>
              <w:t xml:space="preserve">tiêu thụ </w:t>
            </w:r>
            <w:r>
              <w:rPr>
                <w:rFonts w:hint="default" w:ascii="Times New Roman" w:hAnsi="Times New Roman" w:cs="Times New Roman"/>
                <w:spacing w:val="-4"/>
                <w:sz w:val="26"/>
                <w:szCs w:val="26"/>
                <w:lang w:val="vi-VN"/>
              </w:rPr>
              <w:t>sản phẩm</w:t>
            </w:r>
            <w:r>
              <w:rPr>
                <w:rFonts w:hint="default" w:ascii="Times New Roman" w:hAnsi="Times New Roman" w:cs="Times New Roman"/>
                <w:spacing w:val="-4"/>
                <w:sz w:val="26"/>
                <w:szCs w:val="26"/>
              </w:rPr>
              <w:t>.</w:t>
            </w:r>
          </w:p>
          <w:p w14:paraId="5A1983AA">
            <w:pPr>
              <w:pStyle w:val="13"/>
              <w:keepNext w:val="0"/>
              <w:keepLines w:val="0"/>
              <w:pageBreakBefore w:val="0"/>
              <w:kinsoku/>
              <w:wordWrap/>
              <w:overflowPunct/>
              <w:topLinePunct w:val="0"/>
              <w:bidi w:val="0"/>
              <w:snapToGrid/>
              <w:spacing w:beforeAutospacing="0" w:after="0" w:afterAutospacing="0" w:line="240" w:lineRule="auto"/>
              <w:ind w:left="0"/>
              <w:jc w:val="left"/>
              <w:textAlignment w:val="auto"/>
              <w:rPr>
                <w:rFonts w:hint="default" w:ascii="Times New Roman" w:hAnsi="Times New Roman" w:cs="Times New Roman"/>
                <w:spacing w:val="-4"/>
                <w:sz w:val="26"/>
                <w:szCs w:val="26"/>
              </w:rPr>
            </w:pPr>
            <w:r>
              <w:rPr>
                <w:rFonts w:hint="default" w:ascii="Times New Roman" w:hAnsi="Times New Roman" w:cs="Times New Roman"/>
                <w:sz w:val="26"/>
                <w:szCs w:val="26"/>
              </w:rPr>
              <w:t>Đề nghị làm rõ cụm từ: “Dịch vụ tập trung của hợp tác xã” Lý do: Trên thực tế, “dịch vụ tập trung của hợp tác xã” có thể được hiểu theo nhiều cách khác nhau nên dễ dẫn đến cách hiểu và áp dụng không thống nhất trong quá trình triển khai. Hoặc một số HTX không thực hiện đầy đủ các dịch vụ này thì sẽ gây cản trở trong quá trình hỗ trợ.</w:t>
            </w:r>
          </w:p>
          <w:p w14:paraId="04221975">
            <w:pPr>
              <w:pStyle w:val="13"/>
              <w:keepNext w:val="0"/>
              <w:keepLines w:val="0"/>
              <w:pageBreakBefore w:val="0"/>
              <w:kinsoku/>
              <w:wordWrap/>
              <w:overflowPunct/>
              <w:topLinePunct w:val="0"/>
              <w:bidi w:val="0"/>
              <w:snapToGrid/>
              <w:spacing w:beforeAutospacing="0" w:after="0" w:afterAutospacing="0" w:line="240" w:lineRule="auto"/>
              <w:ind w:left="0"/>
              <w:jc w:val="left"/>
              <w:textAlignment w:val="auto"/>
              <w:rPr>
                <w:rFonts w:hint="default" w:ascii="Times New Roman" w:hAnsi="Times New Roman" w:cs="Times New Roman"/>
                <w:sz w:val="26"/>
                <w:szCs w:val="26"/>
                <w:lang w:val="vi-VN" w:eastAsia="ja-JP"/>
              </w:rPr>
            </w:pPr>
            <w:r>
              <w:rPr>
                <w:rFonts w:hint="default" w:ascii="Times New Roman" w:hAnsi="Times New Roman" w:cs="Times New Roman"/>
                <w:sz w:val="26"/>
                <w:szCs w:val="26"/>
              </w:rPr>
              <w:t>Đề nghị cơ quan soạn thảo cần có quy định chi tiết về thời gian hỗ trợ và mức hỗ trợ đối với từng loại cây trồng (cây hàng năm, cây lâu năm, cây lâm nghiệp, …).</w:t>
            </w:r>
          </w:p>
        </w:tc>
        <w:tc>
          <w:tcPr>
            <w:tcW w:w="4567" w:type="dxa"/>
          </w:tcPr>
          <w:p w14:paraId="2B3748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Việc hỗ trợ </w:t>
            </w:r>
            <w:r>
              <w:rPr>
                <w:rFonts w:hint="default" w:ascii="Times New Roman" w:hAnsi="Times New Roman" w:cs="Times New Roman"/>
                <w:sz w:val="26"/>
                <w:szCs w:val="26"/>
                <w:lang w:val="vi-VN"/>
              </w:rPr>
              <w:t xml:space="preserve">thông qua các dịch vụ tập trung của </w:t>
            </w:r>
            <w:r>
              <w:rPr>
                <w:rFonts w:hint="default" w:ascii="Times New Roman" w:hAnsi="Times New Roman" w:cs="Times New Roman"/>
                <w:sz w:val="26"/>
                <w:szCs w:val="26"/>
                <w:lang w:val="en-US"/>
              </w:rPr>
              <w:t>HTX là cần thiết</w:t>
            </w:r>
            <w:r>
              <w:rPr>
                <w:rFonts w:hint="default" w:ascii="Times New Roman" w:hAnsi="Times New Roman" w:cs="Times New Roman"/>
                <w:sz w:val="26"/>
                <w:szCs w:val="26"/>
                <w:lang w:val="vi-VN"/>
              </w:rPr>
              <w:t xml:space="preserve"> vì đây là một điểm chính sách rất quan trọng để khuyến khích vai trò trung tâm tổ chức sản xuất của HTX trong chuỗi giá trị, hạn chế hỗ trợ phân tán trực tiếp đến từng hộ gây manh mún, khó kiểm soát chất lượng, truy xuất nguồn gốc và dễ phát sinh cơ chế “xin </w:t>
            </w:r>
            <w:r>
              <w:rPr>
                <w:rFonts w:hint="default" w:ascii="Times New Roman" w:hAnsi="Times New Roman" w:cs="Times New Roman"/>
                <w:sz w:val="26"/>
                <w:szCs w:val="26"/>
                <w:lang w:val="en-US"/>
              </w:rPr>
              <w:t>-</w:t>
            </w:r>
            <w:r>
              <w:rPr>
                <w:rFonts w:hint="default" w:ascii="Times New Roman" w:hAnsi="Times New Roman" w:cs="Times New Roman"/>
                <w:sz w:val="26"/>
                <w:szCs w:val="26"/>
                <w:lang w:val="vi-VN"/>
              </w:rPr>
              <w:t xml:space="preserve"> cho” vật tư.</w:t>
            </w:r>
          </w:p>
          <w:p w14:paraId="04FE696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Tuy nhiên, tiếp thu theo hướng giữ vai trò ưu tiên của HTX nhưng mở rộng chủ thể thực hiện, đồng thời làm rõ khái niệm “dịch vụ tập trung”.</w:t>
            </w:r>
          </w:p>
        </w:tc>
      </w:tr>
      <w:tr w14:paraId="3083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68D68AD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998A19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3F7CB92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Sở Nông nghiệp và Môi trường </w:t>
            </w:r>
            <w:r>
              <w:rPr>
                <w:rFonts w:hint="default" w:ascii="Times New Roman" w:hAnsi="Times New Roman" w:cs="Times New Roman"/>
                <w:sz w:val="26"/>
                <w:szCs w:val="26"/>
              </w:rPr>
              <w:t>tỉnh Hà Tĩnh; TP Hồ Chí Minh</w:t>
            </w:r>
          </w:p>
        </w:tc>
        <w:tc>
          <w:tcPr>
            <w:tcW w:w="5475" w:type="dxa"/>
          </w:tcPr>
          <w:p w14:paraId="471A5845">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eastAsia="ja-JP"/>
              </w:rPr>
            </w:pPr>
            <w:r>
              <w:rPr>
                <w:rFonts w:hint="default" w:ascii="Times New Roman" w:hAnsi="Times New Roman" w:cs="Times New Roman"/>
                <w:sz w:val="26"/>
                <w:szCs w:val="26"/>
                <w:lang w:val="vi-VN" w:eastAsia="ja-JP"/>
              </w:rPr>
              <w:t xml:space="preserve">Đề nghị làm rõ quy định “tối đa không quá 03 vụ hoặc 03 chu kỳ sản xuất” là áp dụng liên tục hay cộng dồn trong toàn bộ thời gian thực hiện liên kết. </w:t>
            </w:r>
          </w:p>
          <w:p w14:paraId="58B9174C">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eastAsia="ja-JP"/>
              </w:rPr>
            </w:pPr>
            <w:r>
              <w:rPr>
                <w:rFonts w:hint="default" w:ascii="Times New Roman" w:hAnsi="Times New Roman" w:cs="Times New Roman"/>
                <w:sz w:val="26"/>
                <w:szCs w:val="26"/>
                <w:lang w:val="vi-VN" w:eastAsia="ja-JP"/>
              </w:rPr>
              <w:t xml:space="preserve">Đề nghị quy định chi tiết về thời gian hỗ trợ, mức hỗ trợ đối với từng loại cây trồng, vật nuôi (cây hàng năm, cây lâu năm, cây lâm nghiệp…). </w:t>
            </w:r>
          </w:p>
          <w:p w14:paraId="2ED82B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eastAsia="ja-JP"/>
              </w:rPr>
            </w:pPr>
            <w:r>
              <w:rPr>
                <w:rFonts w:hint="default" w:ascii="Times New Roman" w:hAnsi="Times New Roman" w:cs="Times New Roman"/>
                <w:sz w:val="26"/>
                <w:szCs w:val="26"/>
                <w:lang w:val="vi-VN" w:eastAsia="ja-JP"/>
              </w:rPr>
              <w:t>Lý do: tránh cách hiểu và áp dụng không thống nhất giữa các địa phương.</w:t>
            </w:r>
          </w:p>
        </w:tc>
        <w:tc>
          <w:tcPr>
            <w:tcW w:w="4567" w:type="dxa"/>
          </w:tcPr>
          <w:p w14:paraId="360673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và điều chỉnh đây là mức hỗ trợ tối đa được áp dụng cộng dồn trong toàn bộ thời gian thực hiện dự án liên kết, không áp dụng lặp lại hoặc kéo dài vượt quá giới hạn quy định, trừ trường hợp đặc thù do cấp có thẩm quyền quyết định theo quy định của pháp luật.</w:t>
            </w:r>
          </w:p>
          <w:p w14:paraId="6E91D3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Không tiếp thu quy định cứng thời gian hỗ trợ và mức hỗ trợ riêng cho từng loại cây trồng, vật nuôi, thủy sản, lâm nghiệp ngay trong Nghị định, vì đặc điểm sinh học, chu kỳ sản xuất, điều kiện sinh thái, quy mô liên kết và nhu cầu hỗ trợ giữa các ngành hàng rất khác nhau; đồng thời có thể thay đổi theo tiến bộ kỹ thuật, điều kiện thị trường và thực tiễn địa phương.</w:t>
            </w:r>
          </w:p>
        </w:tc>
      </w:tr>
      <w:tr w14:paraId="50BC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314596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EB6464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01B373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 xml:space="preserve">Sở Nông nghiệp và Môi trường </w:t>
            </w:r>
            <w:r>
              <w:rPr>
                <w:rFonts w:hint="default" w:ascii="Times New Roman" w:hAnsi="Times New Roman" w:cs="Times New Roman"/>
                <w:sz w:val="26"/>
                <w:szCs w:val="26"/>
              </w:rPr>
              <w:t xml:space="preserve">tỉnh Hà </w:t>
            </w:r>
            <w:r>
              <w:rPr>
                <w:rFonts w:hint="default" w:ascii="Times New Roman" w:hAnsi="Times New Roman" w:cs="Times New Roman"/>
                <w:sz w:val="26"/>
                <w:szCs w:val="26"/>
                <w:lang w:val="vi-VN"/>
              </w:rPr>
              <w:t>Tĩnh</w:t>
            </w:r>
            <w:r>
              <w:rPr>
                <w:rFonts w:hint="default" w:ascii="Times New Roman" w:hAnsi="Times New Roman" w:cs="Times New Roman"/>
                <w:sz w:val="26"/>
                <w:szCs w:val="26"/>
                <w:lang w:val="en-US"/>
              </w:rPr>
              <w:t>; Quảng Ninh</w:t>
            </w:r>
          </w:p>
        </w:tc>
        <w:tc>
          <w:tcPr>
            <w:tcW w:w="5475" w:type="dxa"/>
          </w:tcPr>
          <w:p w14:paraId="5C61ED0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eastAsia="ja-JP"/>
              </w:rPr>
            </w:pPr>
            <w:r>
              <w:rPr>
                <w:rFonts w:hint="default" w:ascii="Times New Roman" w:hAnsi="Times New Roman" w:cs="Times New Roman"/>
                <w:sz w:val="26"/>
                <w:szCs w:val="26"/>
                <w:lang w:val="vi-VN" w:eastAsia="ja-JP"/>
              </w:rPr>
              <w:t>Đề nghị bổ sung tiêu chí xác định, điều kiện đối với công nghệ được lựa chọn để hỗ trợ phát triển sản xuất, mở rộng thị trường và nâng cao giá trị gia tăng.  Lý do: dự thảo hiện chưa quy định rõ tiêu chí, điều kiện lựa chọn công nghệ hỗ trợ.</w:t>
            </w:r>
          </w:p>
          <w:p w14:paraId="3B1BEA2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eastAsia="ja-JP"/>
              </w:rPr>
            </w:pPr>
            <w:r>
              <w:rPr>
                <w:rFonts w:hint="default" w:ascii="Times New Roman" w:hAnsi="Times New Roman" w:cs="Times New Roman"/>
                <w:sz w:val="26"/>
                <w:szCs w:val="26"/>
              </w:rPr>
              <w:t>Điểm a, d, khoản 1. Chính sách phát triển liên kết chuỗi giá trị có nội dung hỗ trợ về “chuyển giao khoa học kỹ thuật, công nghệ”, “Hỗ trợ áp dụng công nghệ, kỹ thuật trong sơ chế, bảo quản, chế biến và lưu trữ nhằm giảm tổn thất sau thu hoạch và nâng cao giá trị gia tăng”. Tuy nhiên</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dự thảo Nghị định chưa thể hiện tiêu chí xác định, điều kiện đối với công nghệ lựa chọn để hỗ trợ, vì vậy, đề nghị đơn vị dự thảo xem xét bổ sung tiêu chí lựa chọn, điều kiện đối với công nghệ được lựa chọn để hỗ trợ phát triển sản xuất, mở rộng thị trường và nâng cao giá trị gia tăng.</w:t>
            </w:r>
          </w:p>
        </w:tc>
        <w:tc>
          <w:tcPr>
            <w:tcW w:w="4567" w:type="dxa"/>
          </w:tcPr>
          <w:p w14:paraId="33D014D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quy định danh mục hoặc tiêu chuẩn kỹ thuật cứng đối với từng loại công nghệ ngay trong Nghị định, vì công nghệ nông nghiệp thay đổi nhanh, khác biệt lớn giữa các ngành hàng, vùng sinh thái và mô hình liên kết; đồng thời dễ làm giảm tính linh hoạt và khó cập nhật trong quá trình tổ chức thực hiện.</w:t>
            </w:r>
          </w:p>
          <w:p w14:paraId="30330E3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T</w:t>
            </w:r>
            <w:r>
              <w:rPr>
                <w:rFonts w:hint="default" w:ascii="Times New Roman" w:hAnsi="Times New Roman" w:cs="Times New Roman"/>
                <w:sz w:val="26"/>
                <w:szCs w:val="26"/>
                <w:lang w:val="en-US"/>
              </w:rPr>
              <w:t>uy nhiên, t</w:t>
            </w:r>
            <w:r>
              <w:rPr>
                <w:rFonts w:hint="default" w:ascii="Times New Roman" w:hAnsi="Times New Roman" w:cs="Times New Roman"/>
                <w:sz w:val="26"/>
                <w:szCs w:val="26"/>
                <w:lang w:val="vi-VN"/>
              </w:rPr>
              <w:t>iếp thu ý kiến góp ý, cơ quan soạn thảo sẽ rà soát, chỉnh lý điểm a khoản 1 Điều 13 theo hướng bổ sung nguyên tắc lựa chọn công nghệ được hỗ trợ</w:t>
            </w:r>
            <w:r>
              <w:rPr>
                <w:rFonts w:hint="default" w:ascii="Times New Roman" w:hAnsi="Times New Roman" w:cs="Times New Roman"/>
                <w:sz w:val="26"/>
                <w:szCs w:val="26"/>
                <w:lang w:val="en-US"/>
              </w:rPr>
              <w:t>.</w:t>
            </w:r>
          </w:p>
        </w:tc>
      </w:tr>
      <w:tr w14:paraId="1B32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685F3A2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2847CF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65F044B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Sở NN&amp;MT </w:t>
            </w:r>
            <w:r>
              <w:rPr>
                <w:rFonts w:hint="default" w:ascii="Times New Roman" w:hAnsi="Times New Roman" w:cs="Times New Roman"/>
                <w:sz w:val="26"/>
                <w:szCs w:val="26"/>
                <w:lang w:val="vi-VN"/>
              </w:rPr>
              <w:t>Lào Cai</w:t>
            </w:r>
          </w:p>
        </w:tc>
        <w:tc>
          <w:tcPr>
            <w:tcW w:w="5475" w:type="dxa"/>
          </w:tcPr>
          <w:p w14:paraId="4D889A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bCs/>
                <w:iCs/>
                <w:sz w:val="26"/>
                <w:szCs w:val="26"/>
                <w:lang w:val="vi-VN"/>
              </w:rPr>
              <w:t>- Xem xét việc sử dụng từ “Khuyến nông” trong nội dung hỗ trợ. Theo quy định: Khuyến nông bao gồm các hoạt động như đào tạo, tập huấn, chuyển giao kỹ thuật..., do đó việc quy định đồng thời “khuyến nông; đào tạo, tập huấn; chuyển giao khoa học kỹ thuật” là chưa phù hợp, trùng lặp các nội dung hỗ trợ trong tổ chức thực hiện.</w:t>
            </w:r>
          </w:p>
        </w:tc>
        <w:tc>
          <w:tcPr>
            <w:tcW w:w="4567" w:type="dxa"/>
          </w:tcPr>
          <w:p w14:paraId="0C8D138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Rà soát, chỉnh sửa như sau: “Khuyến nông, bao gồm đào tạo, tập huấn, chuyển giao khoa học kỹ thuật, công nghệ phục vụ phát triển liên kết chuỗi giá trị”.</w:t>
            </w:r>
          </w:p>
        </w:tc>
      </w:tr>
      <w:tr w14:paraId="7CEC8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5D25EE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28EF2B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c) Hỗ trợ bao bì, nhãn mác; xây dựng, phát triển thương hiệu; xúc tiến thương mại, kết nối và mở rộng thị trường tiêu thụ sản phẩm.</w:t>
            </w:r>
          </w:p>
        </w:tc>
        <w:tc>
          <w:tcPr>
            <w:tcW w:w="1898" w:type="dxa"/>
          </w:tcPr>
          <w:p w14:paraId="5101746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Sở Nông nghiệp và Môi trường </w:t>
            </w:r>
            <w:r>
              <w:rPr>
                <w:rFonts w:hint="default" w:ascii="Times New Roman" w:hAnsi="Times New Roman" w:cs="Times New Roman"/>
                <w:sz w:val="26"/>
                <w:szCs w:val="26"/>
              </w:rPr>
              <w:t>tỉnh Quảng Ninh</w:t>
            </w:r>
          </w:p>
        </w:tc>
        <w:tc>
          <w:tcPr>
            <w:tcW w:w="5475" w:type="dxa"/>
          </w:tcPr>
          <w:p w14:paraId="3FDB4FC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Điểm c, khoản 1. Chính sách phát triển liên kết chuỗi giá trị: Đề nghị sửa “nhãn mác” thành “nhãn hàng hóa” cho thống nhất với từ ngữ quy định tại Nghị định số 37/2026/NĐ-CP ngày 23/01/2026 của Chính phủ quy định chi tiết một số điều và biện pháp để tổ chức, hướng dẫn thi hành Luật Chất lượng sản phẩm, hàng hóa.</w:t>
            </w:r>
          </w:p>
        </w:tc>
        <w:tc>
          <w:tcPr>
            <w:tcW w:w="4567" w:type="dxa"/>
          </w:tcPr>
          <w:p w14:paraId="5B91A17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090F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B1A4C6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786DF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eastAsia="Times New Roman" w:cs="Times New Roman"/>
                <w:sz w:val="26"/>
                <w:szCs w:val="26"/>
                <w:lang w:eastAsia="vi-VN"/>
              </w:rPr>
              <w:t>3.</w:t>
            </w:r>
            <w:r>
              <w:rPr>
                <w:rFonts w:hint="default" w:ascii="Times New Roman" w:hAnsi="Times New Roman" w:eastAsia="Times New Roman" w:cs="Times New Roman"/>
                <w:sz w:val="26"/>
                <w:szCs w:val="26"/>
                <w:lang w:val="nl-NL" w:eastAsia="vi-VN"/>
              </w:rPr>
              <w:t xml:space="preserve"> Ngân sách nhà nước hỗ trợ tối đa 100% kinh phí thực hiện chính sách quy định tại Điều nà</w:t>
            </w:r>
            <w:r>
              <w:rPr>
                <w:rFonts w:hint="default" w:ascii="Times New Roman" w:hAnsi="Times New Roman" w:eastAsia="Times New Roman" w:cs="Times New Roman"/>
                <w:sz w:val="26"/>
                <w:szCs w:val="26"/>
                <w:lang w:eastAsia="vi-VN"/>
              </w:rPr>
              <w:t xml:space="preserve">y. </w:t>
            </w:r>
            <w:r>
              <w:rPr>
                <w:rFonts w:hint="default" w:ascii="Times New Roman" w:hAnsi="Times New Roman" w:eastAsia="Times New Roman" w:cs="Times New Roman"/>
                <w:sz w:val="26"/>
                <w:szCs w:val="26"/>
                <w:lang w:val="nl-NL" w:eastAsia="vi-VN"/>
              </w:rPr>
              <w:t xml:space="preserve">Mức kinh phí hỗ trợ cụ thể thực hiện từng chính sách do bộ, cơ quan trung ương, Hội đồng nhân dân các cấp xem xét, quyết định hoặc trình cấp có thẩm quyền xem xét, quyết định phù hợp với định hướng ưu tiên và khả năng cân đối nguồn lực trong từng thời kỳ </w:t>
            </w:r>
            <w:r>
              <w:rPr>
                <w:rFonts w:hint="default" w:ascii="Times New Roman" w:hAnsi="Times New Roman" w:eastAsia="Times New Roman" w:cs="Times New Roman"/>
                <w:sz w:val="26"/>
                <w:szCs w:val="26"/>
                <w:lang w:eastAsia="vi-VN"/>
              </w:rPr>
              <w:t xml:space="preserve">và quy định của pháp luật. </w:t>
            </w:r>
          </w:p>
        </w:tc>
        <w:tc>
          <w:tcPr>
            <w:tcW w:w="1898" w:type="dxa"/>
          </w:tcPr>
          <w:p w14:paraId="2C426F5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Thái Nguyên</w:t>
            </w:r>
          </w:p>
        </w:tc>
        <w:tc>
          <w:tcPr>
            <w:tcW w:w="5475" w:type="dxa"/>
          </w:tcPr>
          <w:p w14:paraId="0BB624F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“Mức kinh phí hỗ trợ cụ thể thực hiện từng chính sách do bộ, cơ quan Trung ương, Hội đồng nhân dân cấp tỉnh xem xét, quyết định.”</w:t>
            </w:r>
          </w:p>
        </w:tc>
        <w:tc>
          <w:tcPr>
            <w:tcW w:w="4567" w:type="dxa"/>
          </w:tcPr>
          <w:p w14:paraId="65B5C33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6B24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37CD9B1F">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vMerge w:val="restart"/>
          </w:tcPr>
          <w:p w14:paraId="65C4C7A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 xml:space="preserve">Điều 14. </w:t>
            </w:r>
            <w:r>
              <w:rPr>
                <w:rFonts w:hint="default" w:ascii="Times New Roman" w:hAnsi="Times New Roman" w:eastAsia="Times New Roman" w:cs="Times New Roman"/>
                <w:b/>
                <w:bCs/>
                <w:sz w:val="26"/>
                <w:szCs w:val="26"/>
                <w:lang w:eastAsia="vi-VN"/>
              </w:rPr>
              <w:t>Chính sách hỗ trợ ứng dụng khoa học công nghệ, đổi mới sáng tạo và chuyển đổi số, chuyển đổi xanh</w:t>
            </w:r>
          </w:p>
        </w:tc>
        <w:tc>
          <w:tcPr>
            <w:tcW w:w="1898" w:type="dxa"/>
          </w:tcPr>
          <w:p w14:paraId="492C583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Công thương</w:t>
            </w:r>
          </w:p>
        </w:tc>
        <w:tc>
          <w:tcPr>
            <w:tcW w:w="5475" w:type="dxa"/>
          </w:tcPr>
          <w:p w14:paraId="4541FEB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Điều 14 của Dự thảo Nghị định, đề nghị đơn vị soạn thảo rà soát kỹ nhằm tránh sự trùng lặp các chính sách đã được hỗ trợ đầu tư theo Chương trình mục tiêu quốc gia xây dựng nông thôn mới, giảm nghèo bền vũng và phát triển kinh tế - xã hội vùng đồng bào dân tộc thiều số và miền núi giai đoạn 2026-2035.</w:t>
            </w:r>
          </w:p>
        </w:tc>
        <w:tc>
          <w:tcPr>
            <w:tcW w:w="4567" w:type="dxa"/>
            <w:shd w:val="clear" w:color="auto" w:fill="auto"/>
            <w:vAlign w:val="top"/>
          </w:tcPr>
          <w:p w14:paraId="0FD4A0A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en-US"/>
              </w:rPr>
              <w:t xml:space="preserve">Dự thảo </w:t>
            </w:r>
            <w:r>
              <w:rPr>
                <w:rFonts w:hint="default" w:ascii="Times New Roman" w:hAnsi="Times New Roman" w:cs="Times New Roman"/>
                <w:sz w:val="26"/>
                <w:szCs w:val="26"/>
                <w:lang w:val="vi-VN"/>
              </w:rPr>
              <w:t>Nghị định đã được thiết kế theo nguyên tắc: không hỗ trợ trùng lặp cho cùng một nội dung từ ngân sách nhà nước nhưng cho phép lồng ghép nguồn lực từ các chương trình, dự án hợp pháp khác để nâng cao hiệu quả đầu tư và phù hợp điều kiện thực tiễn của địa phương. Nội dung này đã được thể hiện tại khoản 5 và khoản 6 Điều 10 về nguyên tắc hỗ trợ; đồng thời khoản 2 Điều 1</w:t>
            </w:r>
            <w:r>
              <w:rPr>
                <w:rFonts w:hint="default" w:ascii="Times New Roman" w:hAnsi="Times New Roman" w:cs="Times New Roman"/>
                <w:sz w:val="26"/>
                <w:szCs w:val="26"/>
                <w:lang w:val="en-US"/>
              </w:rPr>
              <w:t>4</w:t>
            </w:r>
            <w:r>
              <w:rPr>
                <w:rFonts w:hint="default" w:ascii="Times New Roman" w:hAnsi="Times New Roman" w:cs="Times New Roman"/>
                <w:sz w:val="26"/>
                <w:szCs w:val="26"/>
                <w:lang w:val="vi-VN"/>
              </w:rPr>
              <w:t xml:space="preserve"> cũng quy định rõ nguồn hỗ trợ được lồng ghép từ chương trình</w:t>
            </w:r>
            <w:r>
              <w:rPr>
                <w:rFonts w:hint="default" w:ascii="Times New Roman" w:hAnsi="Times New Roman" w:cs="Times New Roman"/>
                <w:sz w:val="26"/>
                <w:szCs w:val="26"/>
                <w:lang w:val="en-US"/>
              </w:rPr>
              <w:t xml:space="preserve"> MTQG,</w:t>
            </w:r>
            <w:r>
              <w:rPr>
                <w:rFonts w:hint="default" w:ascii="Times New Roman" w:hAnsi="Times New Roman" w:cs="Times New Roman"/>
                <w:sz w:val="26"/>
                <w:szCs w:val="26"/>
                <w:lang w:val="vi-VN"/>
              </w:rPr>
              <w:t xml:space="preserve"> chương trình đào tạo nghề nông nghiệp, chương trình, đề án về khoa học công nghệ, đổi mới sáng tạo, chuyển đổi số và các chương trình, dự án hợp pháp khác theo quy định của pháp luật</w:t>
            </w:r>
            <w:r>
              <w:rPr>
                <w:rFonts w:hint="default" w:ascii="Times New Roman" w:hAnsi="Times New Roman" w:cs="Times New Roman"/>
                <w:sz w:val="26"/>
                <w:szCs w:val="26"/>
                <w:lang w:val="en-US"/>
              </w:rPr>
              <w:t>.</w:t>
            </w:r>
          </w:p>
        </w:tc>
      </w:tr>
      <w:tr w14:paraId="54AF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BF58C2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5E4C97C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0BC201C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Sở Nông nghiệp và Môi trường </w:t>
            </w:r>
            <w:r>
              <w:rPr>
                <w:rFonts w:hint="default" w:ascii="Times New Roman" w:hAnsi="Times New Roman" w:cs="Times New Roman"/>
                <w:sz w:val="26"/>
                <w:szCs w:val="26"/>
              </w:rPr>
              <w:t>tỉnh Quảng Ninh</w:t>
            </w:r>
          </w:p>
        </w:tc>
        <w:tc>
          <w:tcPr>
            <w:tcW w:w="5475" w:type="dxa"/>
          </w:tcPr>
          <w:p w14:paraId="1F90FE0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pacing w:val="-4"/>
                <w:sz w:val="26"/>
                <w:szCs w:val="26"/>
              </w:rPr>
            </w:pPr>
            <w:r>
              <w:rPr>
                <w:rFonts w:hint="default" w:ascii="Times New Roman" w:hAnsi="Times New Roman" w:cs="Times New Roman"/>
                <w:spacing w:val="-4"/>
                <w:sz w:val="26"/>
                <w:szCs w:val="26"/>
                <w:lang w:val="vi-VN"/>
              </w:rPr>
              <w:t>Tại điều 14 Đề nghị bổ sung nội dung hỗ trợ đặc thù cho những chuỗi giá trị cam kết đạt chứng nhận carbon hoặc nông nghiệp tuần hoàn</w:t>
            </w:r>
            <w:r>
              <w:rPr>
                <w:rFonts w:hint="default" w:ascii="Times New Roman" w:hAnsi="Times New Roman" w:cs="Times New Roman"/>
                <w:spacing w:val="-4"/>
                <w:sz w:val="26"/>
                <w:szCs w:val="26"/>
              </w:rPr>
              <w:t>.</w:t>
            </w:r>
          </w:p>
        </w:tc>
        <w:tc>
          <w:tcPr>
            <w:tcW w:w="4567" w:type="dxa"/>
          </w:tcPr>
          <w:p w14:paraId="3751AC7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nội dung hỗ trợ đặc thù cho chuỗi giá trị carbon</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nông nghiệp tuần hoàn nhưng không tạo chính sách riêng độc lập, mà lồng vào chuyển đổi xanh</w:t>
            </w:r>
          </w:p>
        </w:tc>
      </w:tr>
      <w:tr w14:paraId="25C43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68BFE037">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5CD089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r>
              <w:rPr>
                <w:rFonts w:hint="default" w:ascii="Times New Roman" w:hAnsi="Times New Roman" w:eastAsia="Times New Roman" w:cs="Times New Roman"/>
                <w:sz w:val="26"/>
                <w:szCs w:val="26"/>
                <w:lang w:eastAsia="vi-VN"/>
              </w:rPr>
              <w:t xml:space="preserve">1. Nội dung hỗ trợ: </w:t>
            </w:r>
          </w:p>
          <w:p w14:paraId="7609BB8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val="vi-VN" w:eastAsia="vi-VN"/>
              </w:rPr>
              <w:t>b</w:t>
            </w:r>
            <w:r>
              <w:rPr>
                <w:rFonts w:hint="default" w:ascii="Times New Roman" w:hAnsi="Times New Roman" w:eastAsia="Times New Roman" w:cs="Times New Roman"/>
                <w:sz w:val="26"/>
                <w:szCs w:val="26"/>
                <w:lang w:eastAsia="vi-VN"/>
              </w:rPr>
              <w:t>) Ứng dụng công nghệ số trong quản lý sản xuất, giám sát chất lượng, truy xuất nguồn gốc; áp dụng công nghệ cơ giới hóa, tự động hóa, công nghệ thông minh trong sản xuất, thu hoạch, bảo quản, chế biến và tiêu thụ sản phẩm.</w:t>
            </w:r>
          </w:p>
        </w:tc>
        <w:tc>
          <w:tcPr>
            <w:tcW w:w="1898" w:type="dxa"/>
          </w:tcPr>
          <w:p w14:paraId="6E6B043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Khoa học và Công nghệ</w:t>
            </w:r>
          </w:p>
        </w:tc>
        <w:tc>
          <w:tcPr>
            <w:tcW w:w="5475" w:type="dxa"/>
          </w:tcPr>
          <w:p w14:paraId="1A8E00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điểm b, khoản 1, cần làm rõ việc hỗ trợ ứng dụng các công nghệ mới 1 mang tính đột phá như UAV (thiết bị bay không người lái) trong giám sát vùng nguyên liệu và trong logistics nông sản;</w:t>
            </w:r>
          </w:p>
        </w:tc>
        <w:tc>
          <w:tcPr>
            <w:tcW w:w="4567" w:type="dxa"/>
          </w:tcPr>
          <w:p w14:paraId="54A7005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 xml:space="preserve">Tiếp thu một phần nội dung </w:t>
            </w:r>
            <w:r>
              <w:rPr>
                <w:rFonts w:hint="default" w:ascii="Times New Roman" w:hAnsi="Times New Roman" w:cs="Times New Roman"/>
                <w:sz w:val="26"/>
                <w:szCs w:val="26"/>
                <w:lang w:val="en-US"/>
              </w:rPr>
              <w:t>h</w:t>
            </w:r>
            <w:r>
              <w:rPr>
                <w:rFonts w:hint="default" w:ascii="Times New Roman" w:hAnsi="Times New Roman" w:cs="Times New Roman"/>
                <w:sz w:val="26"/>
                <w:szCs w:val="26"/>
                <w:lang w:val="vi-VN"/>
              </w:rPr>
              <w:t>ỗ trợ ứng dụng các công nghệ mới 1 mang tính đột phá như UAV</w:t>
            </w:r>
            <w:r>
              <w:rPr>
                <w:rFonts w:hint="default" w:ascii="Times New Roman" w:hAnsi="Times New Roman" w:cs="Times New Roman"/>
                <w:sz w:val="26"/>
                <w:szCs w:val="26"/>
                <w:lang w:val="en-US"/>
              </w:rPr>
              <w:t>. Tuy nhiên,</w:t>
            </w:r>
            <w:r>
              <w:rPr>
                <w:rFonts w:hint="default" w:ascii="Times New Roman" w:hAnsi="Times New Roman" w:cs="Times New Roman"/>
                <w:sz w:val="26"/>
                <w:szCs w:val="26"/>
                <w:lang w:val="vi-VN"/>
              </w:rPr>
              <w:t xml:space="preserve"> không liệt kê quá cụ thể tên công nghệ trong Nghị định, chỉ mở bằng “công nghệ mới, công nghệ tiên tiến”</w:t>
            </w:r>
            <w:r>
              <w:rPr>
                <w:rFonts w:hint="default" w:ascii="Times New Roman" w:hAnsi="Times New Roman" w:cs="Times New Roman"/>
                <w:sz w:val="26"/>
                <w:szCs w:val="26"/>
                <w:lang w:val="en-US"/>
              </w:rPr>
              <w:t>.</w:t>
            </w:r>
          </w:p>
        </w:tc>
      </w:tr>
      <w:tr w14:paraId="4CB4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0661E85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7D92F39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p>
        </w:tc>
        <w:tc>
          <w:tcPr>
            <w:tcW w:w="1898" w:type="dxa"/>
          </w:tcPr>
          <w:p w14:paraId="2E3928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Tập đoàn Nông nghiệp sạch hữu cơ Toàn Cầu</w:t>
            </w:r>
          </w:p>
        </w:tc>
        <w:tc>
          <w:tcPr>
            <w:tcW w:w="5475" w:type="dxa"/>
          </w:tcPr>
          <w:p w14:paraId="489E626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Hỗ trợ mạnh hơn cho IoT, Drone, MRV và thương mại hóa tín chỉ carbon.</w:t>
            </w:r>
          </w:p>
          <w:p w14:paraId="27D3B25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Bổ sung cơ chế Sandbox đối với giống mới và công nghệ mới.</w:t>
            </w:r>
          </w:p>
          <w:p w14:paraId="1C1462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Cho phép các dự án liên kết trở thành địa điểm ưu tiên thử nghiệm công nghệ mới.</w:t>
            </w:r>
          </w:p>
        </w:tc>
        <w:tc>
          <w:tcPr>
            <w:tcW w:w="4567" w:type="dxa"/>
          </w:tcPr>
          <w:p w14:paraId="349F4B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Tiếp thu một phần. Bổ sung nội dung khuyến khích thử nghiệm công nghệ mới theo quy định pháp luật chuyên ngành</w:t>
            </w:r>
            <w:r>
              <w:rPr>
                <w:rFonts w:hint="default" w:ascii="Times New Roman" w:hAnsi="Times New Roman" w:cs="Times New Roman"/>
                <w:sz w:val="26"/>
                <w:szCs w:val="26"/>
                <w:lang w:val="en-US"/>
              </w:rPr>
              <w:t>; bổ sung nội dung hỗ trợ ứng dụng công nghệ số, MRV, giảm phát thải khí nhà kính; quy định ưu tiên triển khai các chương trình đổi mới sáng tạo tại vùng nguyên liệu và chuỗi liên kết.</w:t>
            </w:r>
          </w:p>
        </w:tc>
      </w:tr>
      <w:tr w14:paraId="46C4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47D7070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7CFB8AF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đ) Tư vấn xây dựng phương án chuyển đổi số, chuyển đổi xanh; đào tạo, tập huấn kỹ năng ứng dụng công nghệ, quản trị số; hỗ trợ tiếp cận, lựa chọn và chuyển giao công nghệ.</w:t>
            </w:r>
          </w:p>
          <w:p w14:paraId="44DD303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748F74D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UBND tỉnh Quảng Trị</w:t>
            </w:r>
          </w:p>
        </w:tc>
        <w:tc>
          <w:tcPr>
            <w:tcW w:w="5475" w:type="dxa"/>
          </w:tcPr>
          <w:p w14:paraId="3265788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Đề nghị xem xét, chuyển  nội dung “tư vấn xây dựng phương án chuyển đổi số, chuyển đổi xanh từ điểm d khoản 1 Điều 14 sang Điều 11. Chính sách hỗ trợ tư vấn phát triển liên kết. </w:t>
            </w:r>
          </w:p>
          <w:p w14:paraId="3E8315A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Lý do: Tại dự thảo Nghị quyết: Chính sách hỗ trợ tư vấn đã được xây dựng một nhóm chính sách riêng lẻ, độc lập (tại Điều 11). Việc đưa nội dung trên sang Điều 11 sẽ thống nhất nhóm chính sách, tránh chồng chéo và bảo đảm thuận lợi cho địa phương trong quá trình áp dụng.</w:t>
            </w:r>
          </w:p>
        </w:tc>
        <w:tc>
          <w:tcPr>
            <w:tcW w:w="4567" w:type="dxa"/>
          </w:tcPr>
          <w:p w14:paraId="45E3947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1E266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640C4E4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723B55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3FF173C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Khoa học và Công nghệ</w:t>
            </w:r>
          </w:p>
        </w:tc>
        <w:tc>
          <w:tcPr>
            <w:tcW w:w="5475" w:type="dxa"/>
          </w:tcPr>
          <w:p w14:paraId="2CF3353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Đề nghị </w:t>
            </w:r>
            <w:r>
              <w:rPr>
                <w:rFonts w:hint="default" w:ascii="Times New Roman" w:hAnsi="Times New Roman" w:cs="Times New Roman"/>
                <w:sz w:val="26"/>
                <w:szCs w:val="26"/>
              </w:rPr>
              <w:t>bổ sung nội dung “Hỗ trợ chuyển giao công nghệ bao gồm: tư vấn xây dựng phương án chuyển giao công nghệ; đào tạo, tập huấn kỹ năng ứng dụng và quản trị công nghệ; hỗ trợ tiếp cận, lựa chọn, đàm phán và ký kết hợp đồng chuyển giao công nghệ; hỗ trợ thí điểm và đánh giá hiệu quả chuyển giao”;</w:t>
            </w:r>
          </w:p>
        </w:tc>
        <w:tc>
          <w:tcPr>
            <w:tcW w:w="4567" w:type="dxa"/>
          </w:tcPr>
          <w:p w14:paraId="094E5BD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Tiếp thu. Tuy nhiên, để tránh trùng lặp với pháp luật về chuyển giao công nghệ và không làm phát sinh thủ tục hành chính không cần thiết, cơ quan soạn thảo rà soát, chỉnh sửa điểm đ khoản 1 Điều 14 theo hướng bổ sung nội dung hỗ trợ tiếp cận, lựa chọn, chuyển giao và ứng dụng công nghệ; đào tạo, tập huấn kỹ năng ứng dụng, quản trị công nghệ và hỗ trợ thí điểm, đánh giá hiệu quả mô hình công nghệ phù hợp với chuỗi giá trị nông nghiệp. Đồng thời chuyển nội dung này về Điều 11. </w:t>
            </w:r>
            <w:r>
              <w:rPr>
                <w:rFonts w:hint="default" w:ascii="Times New Roman" w:hAnsi="Times New Roman" w:cs="Times New Roman"/>
                <w:sz w:val="26"/>
                <w:szCs w:val="26"/>
              </w:rPr>
              <w:t>Chính sách hỗ trợ tư vấn phát triển liên kế</w:t>
            </w:r>
            <w:r>
              <w:rPr>
                <w:rFonts w:hint="default" w:ascii="Times New Roman" w:hAnsi="Times New Roman" w:cs="Times New Roman"/>
                <w:sz w:val="26"/>
                <w:szCs w:val="26"/>
                <w:lang w:val="en-US"/>
              </w:rPr>
              <w:t>t.</w:t>
            </w:r>
          </w:p>
        </w:tc>
      </w:tr>
      <w:tr w14:paraId="5DB2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91EFC5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24C4919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3.</w:t>
            </w:r>
            <w:r>
              <w:rPr>
                <w:rFonts w:hint="default" w:ascii="Times New Roman" w:hAnsi="Times New Roman" w:eastAsia="Times New Roman" w:cs="Times New Roman"/>
                <w:sz w:val="26"/>
                <w:szCs w:val="26"/>
                <w:lang w:val="nl-NL" w:eastAsia="vi-VN"/>
              </w:rPr>
              <w:t xml:space="preserve"> Ngân sách nhà nước hỗ trợ tối đa 100% kinh phí thực hiện chính sách quy định tại Điều nà</w:t>
            </w:r>
            <w:r>
              <w:rPr>
                <w:rFonts w:hint="default" w:ascii="Times New Roman" w:hAnsi="Times New Roman" w:eastAsia="Times New Roman" w:cs="Times New Roman"/>
                <w:sz w:val="26"/>
                <w:szCs w:val="26"/>
                <w:lang w:eastAsia="vi-VN"/>
              </w:rPr>
              <w:t xml:space="preserve">y. </w:t>
            </w:r>
            <w:r>
              <w:rPr>
                <w:rFonts w:hint="default" w:ascii="Times New Roman" w:hAnsi="Times New Roman" w:eastAsia="Times New Roman" w:cs="Times New Roman"/>
                <w:sz w:val="26"/>
                <w:szCs w:val="26"/>
                <w:lang w:val="nl-NL" w:eastAsia="vi-VN"/>
              </w:rPr>
              <w:t xml:space="preserve">Mức kinh phí hỗ trợ cụ thể thực hiện từng chính sách do bộ, cơ quan trung ương, Hội đồng nhân dân các cấp xem xét, quyết định hoặc trình cấp có thẩm quyền xem xét, quyết định phù hợp với định hướng ưu tiên và khả năng cân đối nguồn lực trong từng thời kỳ </w:t>
            </w:r>
            <w:r>
              <w:rPr>
                <w:rFonts w:hint="default" w:ascii="Times New Roman" w:hAnsi="Times New Roman" w:eastAsia="Times New Roman" w:cs="Times New Roman"/>
                <w:sz w:val="26"/>
                <w:szCs w:val="26"/>
                <w:lang w:eastAsia="vi-VN"/>
              </w:rPr>
              <w:t xml:space="preserve">và quy định của pháp luật. </w:t>
            </w:r>
          </w:p>
        </w:tc>
        <w:tc>
          <w:tcPr>
            <w:tcW w:w="1898" w:type="dxa"/>
          </w:tcPr>
          <w:p w14:paraId="2411455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Thái Nguyên</w:t>
            </w:r>
          </w:p>
        </w:tc>
        <w:tc>
          <w:tcPr>
            <w:tcW w:w="5475" w:type="dxa"/>
          </w:tcPr>
          <w:p w14:paraId="459DD0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“Mức kinh phí hỗ trợ cụ thể thực hiện từng chính sách do bộ, cơ quan Trung ương, Hội đồng nhân dân cấp tỉnh xem xét, quyết định.”</w:t>
            </w:r>
          </w:p>
        </w:tc>
        <w:tc>
          <w:tcPr>
            <w:tcW w:w="4567" w:type="dxa"/>
          </w:tcPr>
          <w:p w14:paraId="524289F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550C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9E5C009">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1E04C81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eastAsia="vi-VN"/>
              </w:rPr>
            </w:pPr>
            <w:r>
              <w:rPr>
                <w:rFonts w:hint="default" w:ascii="Times New Roman" w:hAnsi="Times New Roman" w:eastAsia="Times New Roman" w:cs="Times New Roman"/>
                <w:b/>
                <w:bCs/>
                <w:sz w:val="26"/>
                <w:szCs w:val="26"/>
                <w:lang w:eastAsia="vi-VN"/>
              </w:rPr>
              <w:t>Điều 15. Chính sách hỗ trợ tài chính và quản lý rủi ro</w:t>
            </w:r>
          </w:p>
        </w:tc>
        <w:tc>
          <w:tcPr>
            <w:tcW w:w="1898" w:type="dxa"/>
          </w:tcPr>
          <w:p w14:paraId="387D55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3B35AC9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152C06C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4190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08724154">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restart"/>
          </w:tcPr>
          <w:p w14:paraId="4D1244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1. Nội dung hỗ trợ:</w:t>
            </w:r>
          </w:p>
          <w:p w14:paraId="2240F96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a) Tư vấn xây dựng phương án sản xuất, kinh doanh, phương án vay vốn; hỗ trợ lập hồ sơ vay vốn; tiếp cận các chương trình vay vốn ưu đãi từ các tổ chức tín dụng, quỹ tài chính và quỹ bảo lãnh tín dụng.</w:t>
            </w:r>
          </w:p>
        </w:tc>
        <w:tc>
          <w:tcPr>
            <w:tcW w:w="1898" w:type="dxa"/>
          </w:tcPr>
          <w:p w14:paraId="31AD902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Ngân hàng Nhà nước Việt Nam</w:t>
            </w:r>
          </w:p>
        </w:tc>
        <w:tc>
          <w:tcPr>
            <w:tcW w:w="5475" w:type="dxa"/>
          </w:tcPr>
          <w:p w14:paraId="6A7F316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Điểm a khoản 1 về nội dung hỗ trợ: “Nội dung hỗ trợ: Tư vấn xây dựng phương án sản xuất, kinh doanh, phương án vay vốn; hỗ trợ lập hồ sơ vay vốn; tiếp cận các chương trình vay vốn ưu đãi từ các </w:t>
            </w:r>
            <w:r>
              <w:rPr>
                <w:rFonts w:hint="default" w:ascii="Times New Roman" w:hAnsi="Times New Roman" w:cs="Times New Roman"/>
                <w:strike/>
                <w:dstrike w:val="0"/>
                <w:sz w:val="26"/>
                <w:szCs w:val="26"/>
              </w:rPr>
              <w:t>tổ chức tín dụng</w:t>
            </w:r>
            <w:r>
              <w:rPr>
                <w:rFonts w:hint="default" w:ascii="Times New Roman" w:hAnsi="Times New Roman" w:cs="Times New Roman"/>
                <w:sz w:val="26"/>
                <w:szCs w:val="26"/>
              </w:rPr>
              <w:t>, quỹ tài chính và quỹ bảo lãnh tín dụng”;</w:t>
            </w:r>
          </w:p>
        </w:tc>
        <w:tc>
          <w:tcPr>
            <w:tcW w:w="4567" w:type="dxa"/>
          </w:tcPr>
          <w:p w14:paraId="2C97407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0D82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28D7BA77">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continue"/>
          </w:tcPr>
          <w:p w14:paraId="771920B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1A0859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UBND tỉnh Quảng Trị</w:t>
            </w:r>
          </w:p>
        </w:tc>
        <w:tc>
          <w:tcPr>
            <w:tcW w:w="5475" w:type="dxa"/>
          </w:tcPr>
          <w:p w14:paraId="4D4E3D6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xem xét, chuyển nội dung “tư vấn xây dựng phương án sản xuất, kinh doanh, phương án vay vốn” từ điểm a khoản 1 Điều 15 sang Điều 11. Chính sách hỗ trợ tư vấn phát triển liên kết. Lý do: Tại dự thảo Nghị quyết: Chính sách hỗ trợ tư vấn đã được xây dựng một nhóm chính sách riêng lẻ, độc lập (tại Điều 11). Việc đưa  nội dung trên sang Điều 11 sẽ thống nhất nhóm chính sách, tránh chồng chéo và bảo đảm thuận lợi cho địa phương trong quá trình áp dụng.</w:t>
            </w:r>
          </w:p>
        </w:tc>
        <w:tc>
          <w:tcPr>
            <w:tcW w:w="4567" w:type="dxa"/>
          </w:tcPr>
          <w:p w14:paraId="4D95F91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Tiếp thu. </w:t>
            </w:r>
            <w:r>
              <w:rPr>
                <w:rFonts w:hint="default" w:ascii="Times New Roman" w:hAnsi="Times New Roman" w:cs="Times New Roman"/>
                <w:sz w:val="26"/>
                <w:szCs w:val="26"/>
                <w:lang w:val="vi-VN"/>
              </w:rPr>
              <w:t>Theo đó, Điều 15 tập trung vào các nội dung hỗ trợ về tiếp cận tài chính, tín dụng, bảo hiểm nông nghiệp, quản lý và chia sẻ rủi ro, huy động vốn phục vụ liên kết chuỗi giá trị, bảo đảm rõ phạm vi điều chỉnh, tránh chồng chéo trong quá trình tổ chức thực hiện.</w:t>
            </w:r>
          </w:p>
        </w:tc>
      </w:tr>
      <w:tr w14:paraId="4F86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4B47D43">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restart"/>
          </w:tcPr>
          <w:p w14:paraId="2B364BC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c) Hỗ trợ xây dựng, vận hành cơ chế chia sẻ rủi ro giữa các bên; hỗ trợ thiệt hại do rủi ro bất khả kháng theo quy định; khuyến khích hình thành quỹ dự phòng rủi ro trong liên kết.</w:t>
            </w:r>
          </w:p>
        </w:tc>
        <w:tc>
          <w:tcPr>
            <w:tcW w:w="1898" w:type="dxa"/>
          </w:tcPr>
          <w:p w14:paraId="5D0511D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Môi trường </w:t>
            </w:r>
            <w:r>
              <w:rPr>
                <w:rFonts w:hint="default" w:ascii="Times New Roman" w:hAnsi="Times New Roman" w:cs="Times New Roman"/>
                <w:sz w:val="26"/>
                <w:szCs w:val="26"/>
              </w:rPr>
              <w:t>tỉnh Quảng Ninh</w:t>
            </w:r>
          </w:p>
        </w:tc>
        <w:tc>
          <w:tcPr>
            <w:tcW w:w="5475" w:type="dxa"/>
          </w:tcPr>
          <w:p w14:paraId="012AB80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Đề nghị có hướng dẫn chi tiết hơn về việc xây dựng, vận hành cơ chế chia sẻ rủi ro giữa các bên. Các rủi ro xảy ra cần nêu cụ thể nguyên nhân (ví dụ: Do thiên tai, dịch hại, do biến động thị trường,…).</w:t>
            </w:r>
          </w:p>
          <w:p w14:paraId="268A401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Đề nghị </w:t>
            </w:r>
            <w:r>
              <w:rPr>
                <w:rFonts w:hint="default" w:ascii="Times New Roman" w:hAnsi="Times New Roman" w:cs="Times New Roman"/>
                <w:sz w:val="26"/>
                <w:szCs w:val="26"/>
              </w:rPr>
              <w:t>cơ quan</w:t>
            </w:r>
            <w:r>
              <w:rPr>
                <w:rFonts w:hint="default" w:ascii="Times New Roman" w:hAnsi="Times New Roman" w:cs="Times New Roman"/>
                <w:sz w:val="26"/>
                <w:szCs w:val="26"/>
                <w:lang w:val="vi-VN"/>
              </w:rPr>
              <w:t xml:space="preserve"> soạn thảo có phụ lục cụ thể danh mục các sản phẩm nông nghiệp chủ lực bắt buộc phải có bảo hiểm khi tham gia liên kết.</w:t>
            </w:r>
          </w:p>
        </w:tc>
        <w:tc>
          <w:tcPr>
            <w:tcW w:w="4567" w:type="dxa"/>
          </w:tcPr>
          <w:p w14:paraId="7EA6B0C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K</w:t>
            </w:r>
            <w:r>
              <w:rPr>
                <w:rFonts w:hint="default" w:ascii="Times New Roman" w:hAnsi="Times New Roman" w:cs="Times New Roman"/>
                <w:sz w:val="26"/>
                <w:szCs w:val="26"/>
                <w:lang w:val="vi-VN"/>
              </w:rPr>
              <w:t>hông quy định quá chi tiết cơ chế chia sẻ rủi ro hoặc liệt kê cứng các tình huống rủi ro ngay trong Nghị định, vì mức độ, nguyên nhân và khả năng phân bổ rủi ro khác nhau giữa ngành hàng, vùng sinh thái, mô hình liên kết và thỏa thuận của các bên.</w:t>
            </w:r>
          </w:p>
          <w:p w14:paraId="20C8B9A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w:t>
            </w:r>
            <w:r>
              <w:rPr>
                <w:rFonts w:hint="default" w:ascii="Times New Roman" w:hAnsi="Times New Roman" w:cs="Times New Roman"/>
                <w:sz w:val="26"/>
                <w:szCs w:val="26"/>
                <w:lang w:val="en-US"/>
              </w:rPr>
              <w:t>uy nhiên, t</w:t>
            </w:r>
            <w:r>
              <w:rPr>
                <w:rFonts w:hint="default" w:ascii="Times New Roman" w:hAnsi="Times New Roman" w:cs="Times New Roman"/>
                <w:sz w:val="26"/>
                <w:szCs w:val="26"/>
                <w:lang w:val="vi-VN"/>
              </w:rPr>
              <w:t>iếp thu ý kiến góp ý, cơ quan soạn thảo sẽ rà soát, chỉnh lý điểm c khoản 1 Điều 15 theo hướng làm rõ nguyên tắc xây dựng cơ chế chia sẻ rủi ro giữa các bên trong hợp đồng liên kết hoặc dự án liên kết, bao gồm rủi ro do thiên tai, dịch bệnh, biến động thị trường và các trường hợp bất khả kháng khác theo quy định của pháp luật; đồng thời nghiên cứu hướng dẫn chi tiết trong quá trình tổ chức thực hiện.</w:t>
            </w:r>
          </w:p>
          <w:p w14:paraId="76D5F3B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Không tiếp thu đề nghị ban hành phụ lục danh mục sản phẩm nông nghiệp chủ lực bắt buộc phải có bảo hiểm khi tham gia liên kết. Việc hỗ trợ bảo hiểm nông nghiệp, đối tượng, phạm vi, mức hỗ trợ và danh mục sản phẩm nông nghiệp được hỗ trợ hiện được thực hiện theo pháp luật về bảo hiểm nông nghiệp. Dự thảo Nghị định định hướng theo nguyên tắc khuyến khích áp dụng bảo hiểm nông nghiệp và cơ chế quản trị rủi ro phù hợp với từng ngành hàng, mô hình liên kết, không quy định bắt buộc đối với tất cả các sản phẩm hoặc chủ thể tham gia liên kết.</w:t>
            </w:r>
          </w:p>
        </w:tc>
      </w:tr>
      <w:tr w14:paraId="4F6B5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7639C00">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continue"/>
          </w:tcPr>
          <w:p w14:paraId="73648B3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733E517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Học viện Nông nghiệp Việt Nam</w:t>
            </w:r>
          </w:p>
        </w:tc>
        <w:tc>
          <w:tcPr>
            <w:tcW w:w="5475" w:type="dxa"/>
          </w:tcPr>
          <w:p w14:paraId="18AFCD1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Đề nghị Bổ sung</w:t>
            </w:r>
            <w:r>
              <w:rPr>
                <w:rFonts w:hint="default" w:ascii="Times New Roman" w:hAnsi="Times New Roman" w:cs="Times New Roman"/>
                <w:sz w:val="26"/>
                <w:szCs w:val="26"/>
              </w:rPr>
              <w:t xml:space="preserve"> quy định bắt buộc hình thành quỹ dự phòng rủi ro.</w:t>
            </w:r>
          </w:p>
          <w:p w14:paraId="38C825F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Lý do: </w:t>
            </w:r>
            <w:r>
              <w:rPr>
                <w:rFonts w:hint="default" w:ascii="Times New Roman" w:hAnsi="Times New Roman" w:cs="Times New Roman"/>
                <w:sz w:val="26"/>
                <w:szCs w:val="26"/>
              </w:rPr>
              <w:t>Quỹ dự phòng rủi ro rất cần thiết để sử dụng khi rủi ro, bất trắc như thiên tại, thời tiết, biến động thị trường, giá cả,... xảy ra. Như vậy, nó sẽ hỗ trợ các bên tham gia liên kết trong trường hợp rủi ro, bất trắc xảy ra và góp phần xây dựng chuỗi |giá trị bền vững.</w:t>
            </w:r>
          </w:p>
        </w:tc>
        <w:tc>
          <w:tcPr>
            <w:tcW w:w="4567" w:type="dxa"/>
          </w:tcPr>
          <w:p w14:paraId="71651F3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quy định bắt buộc hình thành quỹ dự phòng rủi ro đối với tất cả các dự án liên kết, vì quy mô, ngành hàng, năng lực tài chính, mức độ liên kết và khả năng quản trị giữa các chủ thể rất khác nhau; việc bắt buộc có thể làm tăng chi phí tham gia liên kết, tạo thêm điều kiện thực hiện, đặc biệt đối với hợp tác xã nhỏ, tổ hợp tác hoặc các chuỗi liên kết mới hình thành.</w:t>
            </w:r>
          </w:p>
        </w:tc>
      </w:tr>
      <w:tr w14:paraId="701FC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427B513">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625A82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2. Nguồn hỗ trợ: Kinh phí sự nghiệp từ nguồn ngân sách nhà nước; lồng ghép từ chương trình mục tiêu quốc gia; các chương trình hỗ trợ phát triển sản xuất, bảo hiểm nông nghiệp, tín dụng chính sách và các chương trình, dự án hợp pháp khác theo quy định của pháp luật. Trường hợp nội dung hỗ trợ thuộc phạm vi chính sách hỗ trợ phát triển hợp tác xã thì thực hiện theo quy định pháp luật về hợp tác xã.</w:t>
            </w:r>
          </w:p>
        </w:tc>
        <w:tc>
          <w:tcPr>
            <w:tcW w:w="1898" w:type="dxa"/>
          </w:tcPr>
          <w:p w14:paraId="453EF8D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Ngân hàng Nhà nước Việt Nam</w:t>
            </w:r>
          </w:p>
        </w:tc>
        <w:tc>
          <w:tcPr>
            <w:tcW w:w="5475" w:type="dxa"/>
          </w:tcPr>
          <w:p w14:paraId="6573B7D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Xóa bỏ cụm từ “tín dụng chính sách” và thay bằng “nguồn vốn từ quỹ tài chính và quỹ bảo lãnh tín dụng” đ</w:t>
            </w:r>
            <w:r>
              <w:rPr>
                <w:rFonts w:hint="default" w:ascii="Times New Roman" w:hAnsi="Times New Roman" w:cs="Times New Roman"/>
                <w:sz w:val="26"/>
                <w:szCs w:val="26"/>
                <w:lang w:val="vi-VN"/>
              </w:rPr>
              <w:t>ể phù hợp với nội dung thuyết minh Điều 15 tại Bảng so sánh và thuyết minh (trang 29):</w:t>
            </w:r>
            <w:r>
              <w:rPr>
                <w:rFonts w:hint="default" w:ascii="Times New Roman" w:hAnsi="Times New Roman" w:cs="Times New Roman"/>
                <w:sz w:val="26"/>
                <w:szCs w:val="26"/>
                <w:lang w:val="vi-VN"/>
              </w:rPr>
              <w:br w:type="textWrapping"/>
            </w:r>
            <w:r>
              <w:rPr>
                <w:rFonts w:hint="default" w:ascii="Times New Roman" w:hAnsi="Times New Roman" w:cs="Times New Roman"/>
                <w:sz w:val="26"/>
                <w:szCs w:val="26"/>
                <w:lang w:val="vi-VN"/>
              </w:rPr>
              <w:t>“...Hỗ trợ tiếp cận vốn: Nhà nước đóng vai trò cầu nối, hỗ trợ lập hồ sơ vay vốn và tiếp cận các quỹ tín dụng ưu đãi.”</w:t>
            </w:r>
          </w:p>
          <w:p w14:paraId="1BDE1E1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3334153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416D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7642EAE1">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restart"/>
          </w:tcPr>
          <w:p w14:paraId="0039A0F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3.</w:t>
            </w:r>
            <w:r>
              <w:rPr>
                <w:rFonts w:hint="default" w:ascii="Times New Roman" w:hAnsi="Times New Roman" w:eastAsia="Times New Roman" w:cs="Times New Roman"/>
                <w:sz w:val="26"/>
                <w:szCs w:val="26"/>
                <w:lang w:val="nl-NL" w:eastAsia="vi-VN"/>
              </w:rPr>
              <w:t xml:space="preserve"> Ngân sách nhà nước hỗ trợ tối đa 100% kinh phí thực hiện chính sách quy định tại Điều nà</w:t>
            </w:r>
            <w:r>
              <w:rPr>
                <w:rFonts w:hint="default" w:ascii="Times New Roman" w:hAnsi="Times New Roman" w:eastAsia="Times New Roman" w:cs="Times New Roman"/>
                <w:sz w:val="26"/>
                <w:szCs w:val="26"/>
                <w:lang w:eastAsia="vi-VN"/>
              </w:rPr>
              <w:t xml:space="preserve">y. </w:t>
            </w:r>
            <w:r>
              <w:rPr>
                <w:rFonts w:hint="default" w:ascii="Times New Roman" w:hAnsi="Times New Roman" w:eastAsia="Times New Roman" w:cs="Times New Roman"/>
                <w:sz w:val="26"/>
                <w:szCs w:val="26"/>
                <w:lang w:val="nl-NL" w:eastAsia="vi-VN"/>
              </w:rPr>
              <w:t xml:space="preserve">Mức kinh phí hỗ trợ cụ thể thực hiện từng chính sách do bộ, cơ quan trung ương, Hội đồng nhân dân các cấp xem xét, quyết định hoặc trình cấp có thẩm quyền xem xét, quyết định phù hợp với định hướng ưu tiên và khả năng cân đối nguồn lực trong từng thời kỳ </w:t>
            </w:r>
            <w:r>
              <w:rPr>
                <w:rFonts w:hint="default" w:ascii="Times New Roman" w:hAnsi="Times New Roman" w:eastAsia="Times New Roman" w:cs="Times New Roman"/>
                <w:sz w:val="26"/>
                <w:szCs w:val="26"/>
                <w:lang w:eastAsia="vi-VN"/>
              </w:rPr>
              <w:t xml:space="preserve">và quy định của pháp luật. </w:t>
            </w:r>
          </w:p>
        </w:tc>
        <w:tc>
          <w:tcPr>
            <w:tcW w:w="1898" w:type="dxa"/>
          </w:tcPr>
          <w:p w14:paraId="3DE1EF7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Thái Nguyên</w:t>
            </w:r>
          </w:p>
        </w:tc>
        <w:tc>
          <w:tcPr>
            <w:tcW w:w="5475" w:type="dxa"/>
          </w:tcPr>
          <w:p w14:paraId="1FAB7A4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“Mức kinh phí hỗ trợ cụ thể thực hiện từng chính sách do bộ, cơ quan Trung ương, Hội đồng nhân dân cấp tỉnh xem xét, quyết định.”</w:t>
            </w:r>
          </w:p>
        </w:tc>
        <w:tc>
          <w:tcPr>
            <w:tcW w:w="4567" w:type="dxa"/>
          </w:tcPr>
          <w:p w14:paraId="107DB3F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2337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0439F21A">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continue"/>
          </w:tcPr>
          <w:p w14:paraId="3E0981B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p>
        </w:tc>
        <w:tc>
          <w:tcPr>
            <w:tcW w:w="1898" w:type="dxa"/>
          </w:tcPr>
          <w:p w14:paraId="0DC26B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Lào Cai</w:t>
            </w:r>
          </w:p>
        </w:tc>
        <w:tc>
          <w:tcPr>
            <w:tcW w:w="5475" w:type="dxa"/>
          </w:tcPr>
          <w:p w14:paraId="76A1F5E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Cs/>
                <w:iCs/>
                <w:sz w:val="26"/>
                <w:szCs w:val="26"/>
              </w:rPr>
            </w:pPr>
            <w:r>
              <w:rPr>
                <w:rFonts w:hint="default" w:ascii="Times New Roman" w:hAnsi="Times New Roman" w:cs="Times New Roman"/>
                <w:bCs/>
                <w:iCs/>
                <w:sz w:val="26"/>
                <w:szCs w:val="26"/>
                <w:lang w:val="vi-VN"/>
              </w:rPr>
              <w:t>Đề nghị bổ sung vào nghị định các quy định chính sách ưu tiên đối với các HTX hoạt động ở khu vực vùng sâu, vùng xa, vùng đặc biệt khó khăn để khuyến khích các HTX tham gia chuỗi liên kết bền vững. Bổ sung thêm chính sách khuyến khích DN bảo lãnh vốn cho HTX/hộ nông dân liên kết (ví dụ: “DN chủ trì liên kết được khuyến khích tham gia bảo lãnh tín dụng cho HTX trong chuỗi”). Lý do: Theo Nghị định 98/2018/NĐ-CP thiếu cơ chế bảo hiểm và quỹ rủi ro. Cần thiết lập chính sách ưu đãi để doanh nghiệp mạnh dạn bảo lãnh, HTX dễ mua bảo hiểm rủi ro.</w:t>
            </w:r>
          </w:p>
        </w:tc>
        <w:tc>
          <w:tcPr>
            <w:tcW w:w="4567" w:type="dxa"/>
          </w:tcPr>
          <w:p w14:paraId="3E6426F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Bổ sung vào Điều 10 về nguyên tắc ưu tiên hỗ trợ liên kết.</w:t>
            </w:r>
          </w:p>
          <w:p w14:paraId="291B0D5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Cơ chế bảo lãnh tín dụng, điều kiện, phạm vi, nghĩa vụ bảo lãnh thuộc phạm vi điều chỉnh của pháp luật về dân sự, tín dụng, bảo lãnh và hoạt động ngân hàng. Không quy định ở Nghị định này.</w:t>
            </w:r>
          </w:p>
        </w:tc>
      </w:tr>
      <w:tr w14:paraId="5912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0DD984E">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vMerge w:val="continue"/>
          </w:tcPr>
          <w:p w14:paraId="202890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4F4D7EF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Tuyên Quang</w:t>
            </w:r>
          </w:p>
        </w:tc>
        <w:tc>
          <w:tcPr>
            <w:tcW w:w="5475" w:type="dxa"/>
          </w:tcPr>
          <w:p w14:paraId="6B0D790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xuất bổ sung quy định rõ cho phép các chủ thể dùng "Hợp đồng liên kết" hoặc "Kế hoạch liên kết đã được phê duyệt" làm căn cứ ưu tiên để các tổ chức tín dụng cho vay không lưu giữ tài sản thế chấp, gắn với trách nhiệm của Ngân hàng Nhà nước. Hiện nay, nông dân và hợp tác xã vẫn gặp khó vì thiếu tài sản thế chấp là đất đai.</w:t>
            </w:r>
          </w:p>
        </w:tc>
        <w:tc>
          <w:tcPr>
            <w:tcW w:w="4567" w:type="dxa"/>
          </w:tcPr>
          <w:p w14:paraId="7EE9594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quy định trong Nghị định này nội dung mang tính bắt buộc hoặc can thiệp trực tiếp vào hoạt động cấp tín dụng của tổ chức tín dụng, vì điều kiện cho vay, biện pháp bảo đảm tiền vay và quản trị rủi ro tín dụng thuộc thẩm quyền điều chỉnh của pháp luật về tổ chức tín dụng, dân sự và quy định của Ngân hàng Nhà nước Việt Nam.</w:t>
            </w:r>
          </w:p>
        </w:tc>
      </w:tr>
      <w:tr w14:paraId="00113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A0C417F">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2646" w:type="dxa"/>
          </w:tcPr>
          <w:p w14:paraId="3201C8E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Quản lý tài sản hình thành từ hỗ trợ của Nhà nước</w:t>
            </w:r>
          </w:p>
        </w:tc>
        <w:tc>
          <w:tcPr>
            <w:tcW w:w="1898" w:type="dxa"/>
          </w:tcPr>
          <w:p w14:paraId="7EA68E2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PGS.TS Chu Tiến Quang</w:t>
            </w:r>
            <w:r>
              <w:rPr>
                <w:rFonts w:hint="default" w:ascii="Times New Roman" w:hAnsi="Times New Roman" w:cs="Times New Roman"/>
                <w:sz w:val="26"/>
                <w:szCs w:val="26"/>
                <w:lang w:val="en-US"/>
              </w:rPr>
              <w:t xml:space="preserve"> và các đại biểu tham dự Hội thảo lấy ý kiến tham vấn dự thảo Nghị định tổ chức ngày 05/6/2026</w:t>
            </w:r>
          </w:p>
        </w:tc>
        <w:tc>
          <w:tcPr>
            <w:tcW w:w="5475" w:type="dxa"/>
          </w:tcPr>
          <w:p w14:paraId="37C5746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Quy định cơ chế quản lý, khai thác tài sản sau khi dự án kết thúc.</w:t>
            </w:r>
          </w:p>
          <w:p w14:paraId="49AACAC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Làm rõ chủ thể quản lý, bảo trì, bảo dưỡng tài sản.</w:t>
            </w:r>
          </w:p>
          <w:p w14:paraId="60CC38A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Xác định tài sản hỗ trợ là tài sản chung của dự án liên kết.</w:t>
            </w:r>
          </w:p>
          <w:p w14:paraId="48239F6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Áp dụng thống nhất quy định pháp luật về quản lý tài sản công.</w:t>
            </w:r>
          </w:p>
        </w:tc>
        <w:tc>
          <w:tcPr>
            <w:tcW w:w="4567" w:type="dxa"/>
          </w:tcPr>
          <w:p w14:paraId="63AF083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bổ sung 01 Điều riêng vào Dự thảo quy định việc Quản lý tài sản hình thành từ hỗ trợ của Nhà nước (Điều 18)</w:t>
            </w:r>
          </w:p>
        </w:tc>
      </w:tr>
      <w:tr w14:paraId="5139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0EB3C53B">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vMerge w:val="restart"/>
          </w:tcPr>
          <w:p w14:paraId="62BEBD3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 xml:space="preserve">Điều 16. </w:t>
            </w:r>
            <w:r>
              <w:rPr>
                <w:rFonts w:hint="default" w:ascii="Times New Roman" w:hAnsi="Times New Roman" w:eastAsia="Times New Roman" w:cs="Times New Roman"/>
                <w:b/>
                <w:bCs/>
                <w:sz w:val="26"/>
                <w:szCs w:val="26"/>
                <w:lang w:eastAsia="vi-VN"/>
              </w:rPr>
              <w:t>Hồ sơ và trình tự, thủ tục phê duyệt kết hoạch liên kết và nội dung hỗ trợ liên kết</w:t>
            </w:r>
          </w:p>
        </w:tc>
        <w:tc>
          <w:tcPr>
            <w:tcW w:w="1898" w:type="dxa"/>
            <w:shd w:val="clear" w:color="auto" w:fill="auto"/>
            <w:vAlign w:val="top"/>
          </w:tcPr>
          <w:p w14:paraId="4A6D925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Sở Nông nghiệp và Môi trường Thái Nguyên</w:t>
            </w:r>
          </w:p>
        </w:tc>
        <w:tc>
          <w:tcPr>
            <w:tcW w:w="5475" w:type="dxa"/>
            <w:shd w:val="clear" w:color="auto" w:fill="auto"/>
            <w:vAlign w:val="top"/>
          </w:tcPr>
          <w:p w14:paraId="6894DA2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Đề nghị điều chỉnh tên điều 16 như sau: "Điều 16. Hồ sơ và trình tự, thủ tục, thẩm quyền phê duyệt kế hoạch liên kết và nội dung hỗ trợ liên kết”</w:t>
            </w:r>
          </w:p>
        </w:tc>
        <w:tc>
          <w:tcPr>
            <w:tcW w:w="4567" w:type="dxa"/>
          </w:tcPr>
          <w:p w14:paraId="318187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điều chỉnh theo hướng quy định đối với dự án lien kết</w:t>
            </w:r>
          </w:p>
        </w:tc>
      </w:tr>
      <w:tr w14:paraId="7B59D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81" w:type="dxa"/>
            <w:vMerge w:val="continue"/>
          </w:tcPr>
          <w:p w14:paraId="3BADE9A4">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vMerge w:val="continue"/>
          </w:tcPr>
          <w:p w14:paraId="106BD65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p>
        </w:tc>
        <w:tc>
          <w:tcPr>
            <w:tcW w:w="1898" w:type="dxa"/>
            <w:shd w:val="clear" w:color="auto" w:fill="auto"/>
            <w:vAlign w:val="top"/>
          </w:tcPr>
          <w:p w14:paraId="16D4E76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Bộ Công an</w:t>
            </w:r>
          </w:p>
        </w:tc>
        <w:tc>
          <w:tcPr>
            <w:tcW w:w="5475" w:type="dxa"/>
            <w:shd w:val="clear" w:color="auto" w:fill="auto"/>
            <w:vAlign w:val="top"/>
          </w:tcPr>
          <w:p w14:paraId="08EAA691">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eastAsia="Times New Roman" w:cs="Times New Roman"/>
                <w:spacing w:val="3"/>
                <w:kern w:val="0"/>
                <w:sz w:val="26"/>
                <w:szCs w:val="26"/>
                <w:lang w:val="en-US"/>
                <w14:ligatures w14:val="none"/>
              </w:rPr>
              <w:t>Q</w:t>
            </w:r>
            <w:r>
              <w:rPr>
                <w:rFonts w:hint="default" w:ascii="Times New Roman" w:hAnsi="Times New Roman" w:eastAsia="Times New Roman" w:cs="Times New Roman"/>
                <w:spacing w:val="3"/>
                <w:kern w:val="0"/>
                <w:sz w:val="26"/>
                <w:szCs w:val="26"/>
                <w14:ligatures w14:val="none"/>
              </w:rPr>
              <w:t xml:space="preserve">uy định về nhận diện liên kết chuỗi giá trị và hồ sơ, kế hoạch liên kết tại khoản 2, khoản 3, khoản 4 Điều 3, Điều 5, khoản 3 Điều 6, Điều 8, Điều 10 và Điều 16 cần làm rõ tiêu chí xác thực tính thực chất của hợp đồng liên kết, kế hoạch liên kết, vai trò chủ trì liên kết và quan hệ giữa các bên tham gia chuỗi, nhằm phòng ngừa nguy cơ hợp thức hóa hoạt động mua bán thông thường thành liên kết chuỗi, lập hồ sơ liên kết hình thức để trục lợi chính sách, gây thất thoát ngân sách nhà nước. </w:t>
            </w:r>
          </w:p>
        </w:tc>
        <w:tc>
          <w:tcPr>
            <w:tcW w:w="4567" w:type="dxa"/>
          </w:tcPr>
          <w:p w14:paraId="3169A65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Tiếp thu. Dự thảo đã bổ sung quy định nhận diện bản chất liên kết chuỗi giá trị tại khoản 3 Điều 3; làm rõ vai trò chủ trì liên kết, phân công trách nhiệm giữa các bên tại Điều 5; bổ sung nội dung bắt buộc của hợp đồng liên kết tại Điều 6; quy định rõ nội dung dự án liên kết tại Điều 8 và nội dung thẩm định tại Điều 16, trong đó yêu cầu đánh giá tính thực chất của liên kết, năng lực tổ chức thực hiện, phương án tiêu thụ, </w:t>
            </w:r>
            <w:r>
              <w:rPr>
                <w:rFonts w:hint="default" w:ascii="Times New Roman" w:hAnsi="Times New Roman" w:cs="Times New Roman"/>
                <w:sz w:val="26"/>
                <w:szCs w:val="26"/>
                <w:lang w:val="en-US"/>
              </w:rPr>
              <w:t>TXNG</w:t>
            </w:r>
            <w:r>
              <w:rPr>
                <w:rFonts w:hint="default" w:ascii="Times New Roman" w:hAnsi="Times New Roman" w:cs="Times New Roman"/>
                <w:sz w:val="26"/>
                <w:szCs w:val="26"/>
                <w:lang w:val="vi-VN"/>
              </w:rPr>
              <w:t>, chia sẻ lợi ích và rủi ro. Đồng thời, Điều 6 và Điều 10 đã quy định rõ không áp dụng chính sách hỗ trợ đối với hoạt động mua bán nông sản đơn thuần không đáp ứng điều kiện liên kết chuỗi giá trị.</w:t>
            </w:r>
          </w:p>
        </w:tc>
      </w:tr>
      <w:tr w14:paraId="4030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0A5DEB27">
            <w:pPr>
              <w:pStyle w:val="36"/>
              <w:keepNext w:val="0"/>
              <w:keepLines w:val="0"/>
              <w:pageBreakBefore w:val="0"/>
              <w:numPr>
                <w:ilvl w:val="0"/>
                <w:numId w:val="0"/>
              </w:numPr>
              <w:kinsoku/>
              <w:wordWrap/>
              <w:overflowPunct/>
              <w:topLinePunct w:val="0"/>
              <w:bidi w:val="0"/>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2646" w:type="dxa"/>
            <w:vMerge w:val="continue"/>
          </w:tcPr>
          <w:p w14:paraId="7E576C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shd w:val="clear" w:color="auto" w:fill="auto"/>
            <w:vAlign w:val="top"/>
          </w:tcPr>
          <w:p w14:paraId="5C76A5D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vi-VN"/>
              </w:rPr>
              <w:t>Sở Nông nghiệp và PTNT Thái Nguyên</w:t>
            </w:r>
            <w:r>
              <w:rPr>
                <w:rFonts w:hint="default" w:ascii="Times New Roman" w:hAnsi="Times New Roman" w:cs="Times New Roman"/>
                <w:sz w:val="26"/>
                <w:szCs w:val="26"/>
              </w:rPr>
              <w:t>, Tuyên Quang; Nghệ An</w:t>
            </w:r>
          </w:p>
        </w:tc>
        <w:tc>
          <w:tcPr>
            <w:tcW w:w="5475" w:type="dxa"/>
            <w:shd w:val="clear" w:color="auto" w:fill="auto"/>
            <w:vAlign w:val="top"/>
          </w:tcPr>
          <w:p w14:paraId="0A88A38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Đề nghị cơ quan chủ trì soạn thảo rà soát, chỉnh sửa để bảo đảm thống nhất, đồng bộ với Nghị định số 358/2025/NĐ-CP ngày 31/12/2025 của Chính phủ, trong đó sử dụng thống nhất giữa “dự án liên kết” và “kế hoạch liên kết”; đồng thời quy định cụ thể, thống nhất về mẫu hồ sơ, trình tự, thủ tục thực hiện hỗ trợ phát triển sản xuất theo chuỗi giá trị.</w:t>
            </w:r>
          </w:p>
        </w:tc>
        <w:tc>
          <w:tcPr>
            <w:tcW w:w="4567" w:type="dxa"/>
          </w:tcPr>
          <w:p w14:paraId="179C24D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Dự thảo thống nhất sử dụng khái niệm “dự án liên kết” để bảo đảm đồng bộ với quy định tại Nghị định số 358/2025/NĐ-CP. Đồng thời, tại khoản 7 Điều 16 đã bổ sung nguyên tắc: trường hợp sử dụng nguồn vốn thuộc Chương trình MTQG hoặc chương trình, dự án khác đã có quy định riêng về hồ sơ, trình tự, thủ tục thì thực hiện theo quy định của chương trình, dự án đó, bảo đảm không phát sinh thủ tục chồng chéo, trùng lặp.</w:t>
            </w:r>
          </w:p>
        </w:tc>
      </w:tr>
      <w:tr w14:paraId="4569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6F49A01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79CF069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163DF8D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Ngân hàng Nhà nước Việt Nam</w:t>
            </w:r>
          </w:p>
        </w:tc>
        <w:tc>
          <w:tcPr>
            <w:tcW w:w="5475" w:type="dxa"/>
          </w:tcPr>
          <w:p w14:paraId="627F82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bổ sung quy định về hồ sơ, trình tự, thủ tục phê duyệt đối với các chính sách hỗ trợ quy định tại Điều 13, Điều 14, Điều 15 của dự thảo Nghị định.</w:t>
            </w:r>
          </w:p>
        </w:tc>
        <w:tc>
          <w:tcPr>
            <w:tcW w:w="4567" w:type="dxa"/>
          </w:tcPr>
          <w:p w14:paraId="50B4DC0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Tiếp thu</w:t>
            </w:r>
            <w:r>
              <w:rPr>
                <w:rFonts w:hint="default" w:ascii="Times New Roman" w:hAnsi="Times New Roman" w:cs="Times New Roman"/>
                <w:sz w:val="26"/>
                <w:szCs w:val="26"/>
              </w:rPr>
              <w:t>. Dự thảo quy định một quy trình phê duyệt dự án liên kết đồng thời với nội dung hỗ trợ tại Điều 16; hồ sơ đề nghị hỗ trợ đối với các chính sách tại Điều 13, 14, 15 được tích hợp trong dự án liên kết và tài liệu liên quan kèm theo, tránh phát sinh thêm thủ tục hành chính riêng cho từng chính sách hỗ trợ.</w:t>
            </w:r>
          </w:p>
        </w:tc>
      </w:tr>
      <w:tr w14:paraId="2FFA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213363B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B84BBE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3E2A03C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Môi trường tỉnh </w:t>
            </w:r>
            <w:r>
              <w:rPr>
                <w:rFonts w:hint="default" w:ascii="Times New Roman" w:hAnsi="Times New Roman" w:cs="Times New Roman"/>
                <w:sz w:val="26"/>
                <w:szCs w:val="26"/>
              </w:rPr>
              <w:t>Quảng Ninh</w:t>
            </w:r>
          </w:p>
        </w:tc>
        <w:tc>
          <w:tcPr>
            <w:tcW w:w="5475" w:type="dxa"/>
          </w:tcPr>
          <w:p w14:paraId="6CE0E31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bổ sung việc áp dụng nộp hồ sơ trực tuyến hoàn toàn để rút ngắn thời gian, thời vụ sản xuất của người sản xuất.</w:t>
            </w:r>
          </w:p>
        </w:tc>
        <w:tc>
          <w:tcPr>
            <w:tcW w:w="4567" w:type="dxa"/>
          </w:tcPr>
          <w:p w14:paraId="0A74700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Dự thảo đã bổ sung hình thức nộp trực tuyến trên Hệ thống thông tin giải quyết thủ tục hành chính, đồng thời khuyến khích tiếp nhận, thẩm định, phê duyệt, giám sát trên môi trường điện tử. Tuy nhiên, để phù hợp mức độ sẵn sàng chuyển đổi số giữa các địa phương, dự thảo quy định đa phương thức tiếp nhận hồ sơ (trực tiếp, bưu chính công ích, trực tuyến).</w:t>
            </w:r>
          </w:p>
        </w:tc>
      </w:tr>
      <w:tr w14:paraId="758DD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4698FC1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760ADEF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1A1935F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UBND tỉnh Lâm Đồng</w:t>
            </w:r>
          </w:p>
        </w:tc>
        <w:tc>
          <w:tcPr>
            <w:tcW w:w="5475" w:type="dxa"/>
          </w:tcPr>
          <w:p w14:paraId="543875C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Về Điều 16 dự thảo Đề nghị nghiên cứu, bổ sung quy định theo hướng đơn giản hóa quy trình, cắt giảm các khâu trung gian không cần thiết; không quy định bắt buộc thành lập Hội đồng trong mọi trường hợp. Đồng thời, xem xét áp dụng cơ chế “thẩm định rút gọn” đối với các nội dung đơn giản, rõ ràng, không bao gồm hạng mục kết cấu hạ tầng, trang thiết bị trong kế hoạch liên kết.</w:t>
            </w:r>
          </w:p>
        </w:tc>
        <w:tc>
          <w:tcPr>
            <w:tcW w:w="4567" w:type="dxa"/>
          </w:tcPr>
          <w:p w14:paraId="5F6CF2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Dự thảo không quy định bắt buộc thành lập Hội đồng thẩm định đối với mọi hồ sơ nhằm giảm thủ tục hành chính và rút ngắn thời gian xử lý. Theo đó, cơ quan chuyên môn về nông nghiệp và môi trường chủ trì tổ chức thẩm định hồ sơ; chỉ thành lập Hội đồng hoặc Tổ thẩm định liên ngành đối với dự án liên kết có nội dung hỗ trợ kết cấu hạ tầng, trang thiết bị, cơ giới hóa; sử dụng nhiều nguồn vốn; thực hiện trên địa bàn từ hai đơn vị hành chính cấp xã trở lên; hoặc có nội dung phức tạp cần lấy ý kiến nhiều cơ quan chuyên môn.</w:t>
            </w:r>
          </w:p>
          <w:p w14:paraId="150B822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Đối với dự án liên kết có nội dung hỗ trợ đơn giản, chủ yếu là hỗ trợ sản xuất, đào tạo, tiêu chuẩn chất lượng, xúc tiến thương mại, chuyển đổi số, không có hạng mục đầu tư kết cấu hạ tầng hoặc mua sắm tài sản, cơ quan chuyên môn thực hiện thẩm định theo quy trình rút gọn, bảo đảm giảm chi phí tuân thủ nhưng vẫn kiểm soát chặt chẽ điều kiện hỗ trợ, phòng ngừa trục lợi chính sách.</w:t>
            </w:r>
          </w:p>
        </w:tc>
      </w:tr>
      <w:tr w14:paraId="0CE77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4D814C3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7454A0F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6DB0AB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Văn phòng Bộ</w:t>
            </w:r>
          </w:p>
        </w:tc>
        <w:tc>
          <w:tcPr>
            <w:tcW w:w="5475" w:type="dxa"/>
          </w:tcPr>
          <w:p w14:paraId="05613CC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Điều 16 dự thảo Nghị định) a) Về trình tự thực hiện Nội dung dự thảo Nghị định quy định tổ chức, cá nhân nộp hồ sơ tới tới Sở Nông nghiệp và Môi trường/ Phòng Kinh tế (đối với xã, đặc khu) hoặc phòng kinh tế, hạ tầng và đô thị (đối với phường và đặc khu Phú Quốc), tuy nhiên hiện nay đối với cấp tỉnh và cấp xã, nhiệm vụ tiếp nhận hồ sơ và trả kết quả giải quyết thủ tục hành chính được giao cho Trung tâm phục vụ hành chính công; tổ chức, cá nhân không nộp hồ sơ về trực tiếp cơ quan chuyên môn giải quyết TTHC. Vì vậy đề nghị đơn vị chủ trì soạn thảo nghiên cứu quy định phù hợp.</w:t>
            </w:r>
          </w:p>
          <w:p w14:paraId="75F3C4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b) Về cách thức thực hiện</w:t>
            </w:r>
          </w:p>
          <w:p w14:paraId="2DA98FF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Thủ tục hành chính chưa quy định cách thức để tổ chức cá nhân nộp hồ sơ, nhận kết quả giải quyết TTHC, vì vậy đề nghị quy định rõ cách thức thực hiện theo quy định</w:t>
            </w:r>
          </w:p>
        </w:tc>
        <w:tc>
          <w:tcPr>
            <w:tcW w:w="4567" w:type="dxa"/>
          </w:tcPr>
          <w:p w14:paraId="5D0466C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Tiếp thu. Dự thảo đã sửa theo hướng hồ sơ được nộp tại Trung tâm Phục vụ hành chính công</w:t>
            </w:r>
            <w:r>
              <w:rPr>
                <w:rFonts w:hint="default" w:ascii="Times New Roman" w:hAnsi="Times New Roman" w:cs="Times New Roman"/>
                <w:sz w:val="26"/>
                <w:szCs w:val="26"/>
                <w:lang w:val="en-US"/>
              </w:rPr>
              <w:t xml:space="preserve"> hoặc </w:t>
            </w:r>
            <w:r>
              <w:rPr>
                <w:rFonts w:hint="default" w:ascii="Times New Roman" w:hAnsi="Times New Roman" w:cs="Times New Roman"/>
                <w:sz w:val="26"/>
                <w:szCs w:val="26"/>
              </w:rPr>
              <w:t>Bộ phận tiếp nhận và trả kết quả theo cơ chế một cửa hoặc trên Hệ thống thông tin giải quyết thủ tục hành chính, bảo đảm phù hợp mô hình tổ chức thực hiện thủ tục hành chính hiện hành ở cấp tỉnh và cấp xã.</w:t>
            </w:r>
          </w:p>
          <w:p w14:paraId="21DE7FE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đề nghị quy định rõ cách thức nộp hồ sơ, nhận kết quả giải quyết thủ tục hành chính. Khoản 2 Điều 16 đã quy định cụ thể các hình thức thực hiện thủ tục hành chính gồm: nộp trực tiếp, qua dịch vụ bưu chính công ích và trực tuyến, bảo đảm rõ ràng, thuận lợi cho tổ chức, cá nhân thực hiện.</w:t>
            </w:r>
          </w:p>
        </w:tc>
      </w:tr>
      <w:tr w14:paraId="0AAE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0FCB376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21858E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7B179FD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Thủy sản và kiểm ngư</w:t>
            </w:r>
          </w:p>
        </w:tc>
        <w:tc>
          <w:tcPr>
            <w:tcW w:w="5475" w:type="dxa"/>
          </w:tcPr>
          <w:p w14:paraId="545CA41F">
            <w:pPr>
              <w:keepNext w:val="0"/>
              <w:keepLines w:val="0"/>
              <w:pageBreakBefore w:val="0"/>
              <w:widowControl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a) Về thành phần hồ sơ: Đề nghị rà soát theo hướng đơn giản hóa hồ sơ, rút gọn quy trình, làm rõ phân cấp thẩm quyền và bảo đảm phù hợp quy định về kiểm soát thủ tục hành chính. Ngoài ra, cần xem xét không không bắt buộc thành lập Hội đồng thẩm định đối với hồ sơ quy mô nhỏ để tránh những thủ tục không cần thiết và mất nhiều thời gian xử lý hồ sơ, đáp ứng yêu cầu về giảm thủ tục hành chính trong bối cảnh hiện nay. Lý do: Quy định nhiều thành phần hồ sơ và nhiều bước xử lý, có thể làm phát sinh thủ tục hành chính mới, làm tăng chi phí tuân thủ.</w:t>
            </w:r>
          </w:p>
        </w:tc>
        <w:tc>
          <w:tcPr>
            <w:tcW w:w="4567" w:type="dxa"/>
          </w:tcPr>
          <w:p w14:paraId="01112B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Tiếp thu. Dự thảo đã rà soát tinh gọn hồ sơ theo hướng chỉ yêu cầu các tài liệu </w:t>
            </w:r>
            <w:r>
              <w:rPr>
                <w:rFonts w:hint="default" w:ascii="Times New Roman" w:hAnsi="Times New Roman" w:cs="Times New Roman"/>
                <w:sz w:val="26"/>
                <w:szCs w:val="26"/>
                <w:lang w:val="en-US"/>
              </w:rPr>
              <w:t>chính</w:t>
            </w:r>
            <w:r>
              <w:rPr>
                <w:rFonts w:hint="default" w:ascii="Times New Roman" w:hAnsi="Times New Roman" w:cs="Times New Roman"/>
                <w:sz w:val="26"/>
                <w:szCs w:val="26"/>
              </w:rPr>
              <w:t xml:space="preserve"> phục vụ xác định điều kiện hỗ trợ và kiểm soát tính thực chất của liên kết; quy định rõ thẩm quyền cấp tỉnh, cấp xã; không bắt buộc Hội đồng thẩm định đối với mọi hồ sơ, góp phần giảm thời gian xử lý và chi phí tuân thủ.</w:t>
            </w:r>
          </w:p>
        </w:tc>
      </w:tr>
      <w:tr w14:paraId="74BC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22D42A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D636E6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1898" w:type="dxa"/>
          </w:tcPr>
          <w:p w14:paraId="7A8FBFA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Cục Thủy sản và kiểm ngư</w:t>
            </w:r>
          </w:p>
        </w:tc>
        <w:tc>
          <w:tcPr>
            <w:tcW w:w="5475" w:type="dxa"/>
          </w:tcPr>
          <w:p w14:paraId="77B97AFB">
            <w:pPr>
              <w:keepNext w:val="0"/>
              <w:keepLines w:val="0"/>
              <w:pageBreakBefore w:val="0"/>
              <w:widowControl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Nhằm bảo đảm tính công khai, minh bạch và tăng cường hậu kiểm đối với các nội dung quy định tại Điều 16 theo hướng đơn giản hóa thủ tục nhưng kiểm soát chặt chẽ điều kiện, tránh trục lợi chính sách, đề nghị nghiên cứu, xem xét bổ sung quy định cụ thể các biểu mẫu, hồ sơ có liên quan tạo điều kiện thuận lợi cho đối tượng thụ hưởng chính sách và cơ quan thẩm định, cụ thể:</w:t>
            </w:r>
          </w:p>
        </w:tc>
        <w:tc>
          <w:tcPr>
            <w:tcW w:w="4567" w:type="dxa"/>
          </w:tcPr>
          <w:p w14:paraId="21AFEA4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đã bổ sung, chuẩn hóa hệ thống 05 biểu mẫu gồm: đơn đề nghị, dự án liên kết, thỏa thuận cử chủ trì liên kết, cam kết tuân thủ tiêu chuẩn và quyết định phê duyệt; đồng thời quy định công khai danh mục dự án được hỗ trợ, nội dung và mức hỗ trợ nhằm tăng cường minh bạch, tạo thuận lợi cho quản lý, hậu kiểm và phòng ngừa trục lợi chính sách.</w:t>
            </w:r>
          </w:p>
        </w:tc>
      </w:tr>
      <w:tr w14:paraId="64897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0A1D229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05DA58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1. Hồ sơ đề nghị phê duyệt</w:t>
            </w:r>
          </w:p>
          <w:p w14:paraId="24884D9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Chủ trì liên kết gửi 01 bộ hồ sơ đề nghị phê duyệt kế hoạch liên kết và nội dung hỗ trợ liên kết, bao gồm:</w:t>
            </w:r>
          </w:p>
          <w:p w14:paraId="44D22C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i/>
                <w:iCs/>
                <w:sz w:val="26"/>
                <w:szCs w:val="26"/>
                <w:lang w:eastAsia="vi-VN"/>
              </w:rPr>
            </w:pPr>
            <w:r>
              <w:rPr>
                <w:rFonts w:hint="default" w:ascii="Times New Roman" w:hAnsi="Times New Roman" w:eastAsia="Times New Roman" w:cs="Times New Roman"/>
                <w:sz w:val="26"/>
                <w:szCs w:val="26"/>
                <w:lang w:val="vi-VN" w:eastAsia="vi-VN"/>
              </w:rPr>
              <w:t>a</w:t>
            </w:r>
            <w:r>
              <w:rPr>
                <w:rFonts w:hint="default" w:ascii="Times New Roman" w:hAnsi="Times New Roman" w:eastAsia="Times New Roman" w:cs="Times New Roman"/>
                <w:sz w:val="26"/>
                <w:szCs w:val="26"/>
                <w:lang w:eastAsia="vi-VN"/>
              </w:rPr>
              <w:t xml:space="preserve">) Đơn đề nghị phê duyệt liên kết </w:t>
            </w:r>
            <w:r>
              <w:rPr>
                <w:rFonts w:hint="default" w:ascii="Times New Roman" w:hAnsi="Times New Roman" w:eastAsia="Times New Roman" w:cs="Times New Roman"/>
                <w:i/>
                <w:iCs/>
                <w:sz w:val="26"/>
                <w:szCs w:val="26"/>
                <w:lang w:eastAsia="vi-VN"/>
              </w:rPr>
              <w:t>(theo Mẫu số 01 tại Phụ lục ban hành kèm theo Nghị định này);</w:t>
            </w:r>
          </w:p>
          <w:p w14:paraId="57CE48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val="vi-VN" w:eastAsia="vi-VN"/>
              </w:rPr>
              <w:t xml:space="preserve">b) </w:t>
            </w:r>
            <w:r>
              <w:rPr>
                <w:rFonts w:hint="default" w:ascii="Times New Roman" w:hAnsi="Times New Roman" w:eastAsia="Times New Roman" w:cs="Times New Roman"/>
                <w:sz w:val="26"/>
                <w:szCs w:val="26"/>
                <w:lang w:eastAsia="vi-VN"/>
              </w:rPr>
              <w:t xml:space="preserve">Kế hoạch liên kết </w:t>
            </w:r>
            <w:r>
              <w:rPr>
                <w:rFonts w:hint="default" w:ascii="Times New Roman" w:hAnsi="Times New Roman" w:eastAsia="Times New Roman" w:cs="Times New Roman"/>
                <w:i/>
                <w:iCs/>
                <w:sz w:val="26"/>
                <w:szCs w:val="26"/>
                <w:lang w:eastAsia="vi-VN"/>
              </w:rPr>
              <w:t>(theo Mẫu số 02 tại Phụ lục ban hành kèm theo Nghị định này);</w:t>
            </w:r>
            <w:r>
              <w:rPr>
                <w:rFonts w:hint="default" w:ascii="Times New Roman" w:hAnsi="Times New Roman" w:eastAsia="Times New Roman" w:cs="Times New Roman"/>
                <w:sz w:val="26"/>
                <w:szCs w:val="26"/>
                <w:lang w:eastAsia="vi-VN"/>
              </w:rPr>
              <w:t xml:space="preserve"> </w:t>
            </w:r>
          </w:p>
          <w:p w14:paraId="4374B2D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c) Bản thỏa thuận cử đơn vị chủ trì liên kết </w:t>
            </w:r>
            <w:r>
              <w:rPr>
                <w:rFonts w:hint="default" w:ascii="Times New Roman" w:hAnsi="Times New Roman" w:eastAsia="Times New Roman" w:cs="Times New Roman"/>
                <w:i/>
                <w:iCs/>
                <w:sz w:val="26"/>
                <w:szCs w:val="26"/>
                <w:lang w:eastAsia="vi-VN"/>
              </w:rPr>
              <w:t>(theo Mẫu số 03 tại Phụ lục ban hành kèm theo Nghị định này)</w:t>
            </w:r>
            <w:r>
              <w:rPr>
                <w:rFonts w:hint="default" w:ascii="Times New Roman" w:hAnsi="Times New Roman" w:eastAsia="Times New Roman" w:cs="Times New Roman"/>
                <w:sz w:val="26"/>
                <w:szCs w:val="26"/>
                <w:lang w:eastAsia="vi-VN"/>
              </w:rPr>
              <w:t xml:space="preserve"> đối với đối với hình thức </w:t>
            </w:r>
            <w:r>
              <w:rPr>
                <w:rFonts w:hint="default" w:ascii="Times New Roman" w:hAnsi="Times New Roman" w:eastAsia="Times New Roman" w:cs="Times New Roman"/>
                <w:sz w:val="26"/>
                <w:szCs w:val="26"/>
                <w:lang w:val="vi-VN" w:eastAsia="vi-VN"/>
              </w:rPr>
              <w:t>liên kết theo chuỗi giá trị mở</w:t>
            </w:r>
            <w:r>
              <w:rPr>
                <w:rFonts w:hint="default" w:ascii="Times New Roman" w:hAnsi="Times New Roman" w:eastAsia="Times New Roman" w:cs="Times New Roman"/>
                <w:sz w:val="26"/>
                <w:szCs w:val="26"/>
                <w:lang w:eastAsia="vi-VN"/>
              </w:rPr>
              <w:t xml:space="preserve"> theo quy định tại Điểm 2 Khoản 3 Điều 5 của Nghị định này.</w:t>
            </w:r>
          </w:p>
          <w:p w14:paraId="38747A9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d) Bản sao chụp các chứng nhận hoặc bản cam kết về tiêu chuẩn chất lượng sản phẩm, an toàn thực phẩm, an toàn dịch bệnh và bảo vệ môi trường; hoặc cam kết bảo đảm các quy định của pháp luật về tiêu chuẩn chất lượng sản phẩm, an toàn thực phẩm, an toàn dịch bệnh và bảo vệ môi trường </w:t>
            </w:r>
            <w:r>
              <w:rPr>
                <w:rFonts w:hint="default" w:ascii="Times New Roman" w:hAnsi="Times New Roman" w:eastAsia="Times New Roman" w:cs="Times New Roman"/>
                <w:i/>
                <w:iCs/>
                <w:sz w:val="26"/>
                <w:szCs w:val="26"/>
                <w:lang w:eastAsia="vi-VN"/>
              </w:rPr>
              <w:t>(theo Mẫu số 04 tại Phụ lục ban hành kèm theo Nghị định này)</w:t>
            </w:r>
            <w:r>
              <w:rPr>
                <w:rFonts w:hint="default" w:ascii="Times New Roman" w:hAnsi="Times New Roman" w:eastAsia="Times New Roman" w:cs="Times New Roman"/>
                <w:sz w:val="26"/>
                <w:szCs w:val="26"/>
                <w:lang w:eastAsia="vi-VN"/>
              </w:rPr>
              <w:t>;</w:t>
            </w:r>
          </w:p>
          <w:p w14:paraId="1AC3A80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r>
              <w:rPr>
                <w:rFonts w:hint="default" w:ascii="Times New Roman" w:hAnsi="Times New Roman" w:eastAsia="Times New Roman" w:cs="Times New Roman"/>
                <w:sz w:val="26"/>
                <w:szCs w:val="26"/>
                <w:lang w:eastAsia="vi-VN"/>
              </w:rPr>
              <w:t>đ) Bản sao chụp hợp đồng liên kết.</w:t>
            </w:r>
          </w:p>
        </w:tc>
        <w:tc>
          <w:tcPr>
            <w:tcW w:w="1898" w:type="dxa"/>
          </w:tcPr>
          <w:p w14:paraId="5F11295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Văn Phòng Bộ; Cục chuyển đổi số; </w:t>
            </w:r>
            <w:r>
              <w:rPr>
                <w:rFonts w:hint="default" w:ascii="Times New Roman" w:hAnsi="Times New Roman" w:cs="Times New Roman"/>
                <w:sz w:val="26"/>
                <w:szCs w:val="26"/>
              </w:rPr>
              <w:t xml:space="preserve">Sở Nông nghiệp và MT tỉnh Hà </w:t>
            </w:r>
            <w:r>
              <w:rPr>
                <w:rFonts w:hint="default" w:ascii="Times New Roman" w:hAnsi="Times New Roman" w:cs="Times New Roman"/>
                <w:sz w:val="26"/>
                <w:szCs w:val="26"/>
                <w:lang w:val="vi-VN"/>
              </w:rPr>
              <w:t>Tĩnh, Vĩnh Long UBND tỉnh Quảng Trị</w:t>
            </w:r>
          </w:p>
        </w:tc>
        <w:tc>
          <w:tcPr>
            <w:tcW w:w="5475" w:type="dxa"/>
          </w:tcPr>
          <w:p w14:paraId="4E854FF9">
            <w:pPr>
              <w:keepNext w:val="0"/>
              <w:keepLines w:val="0"/>
              <w:pageBreakBefore w:val="0"/>
              <w:widowControl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Về thành phần hồ sơ - Đối với các thành phần hồ sơ: “Đơn đề nghị phê duyệt liên kết”, “Kế hoạch liên kết” có nhiều nội dung, thông tin trùng lặp, thiết kế phức tạp.</w:t>
            </w:r>
          </w:p>
          <w:p w14:paraId="450C8A5C">
            <w:pPr>
              <w:keepNext w:val="0"/>
              <w:keepLines w:val="0"/>
              <w:pageBreakBefore w:val="0"/>
              <w:widowControl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Điều chỉnh Mẫu số 02 theo hướng có phần hướng dẫn điền thông tin cụ thể, đơn giản, dễ thực hiện; hoặc xây dựng thêm mẫu kế hoạch liên kết đơn giản để sử dụng tại cấp xã. Đề nghị đơn vị chủ trì rà soát kỹ nội dung tại các thành phần hồ sơ liên quan, thực hiện đơn giản hóa nội dung mẫu đơn, tờ khai, lược bỏ bớt các thông tin trùng lặp giúp tạo thuận lợi cho tổ chức, cá nhân, cắt giảm chi phí và thời gian thực hiện.</w:t>
            </w:r>
          </w:p>
          <w:p w14:paraId="306B0B67">
            <w:pPr>
              <w:keepNext w:val="0"/>
              <w:keepLines w:val="0"/>
              <w:pageBreakBefore w:val="0"/>
              <w:widowControl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 Đối với thành phần hồ sơ: “Bản sao chụp các chứng nhận hoặc bản cam kết về tiêu chuẩn chất lượng sản phẩm, an toàn thực phẩm, an toàn dịch bệnh và bảo vệ môi trường; hoặc cam kết bảo đảm các quy định của pháp luật về tiêu chuẩn chất lượng sản phẩm, an toàn thực phẩm, an toàn dịch bệnh và bảo vệ môi trường”, đây là những nội dung mà tổ chức, cá nhân bắt buộc phải tuân thủ theo quy định của pháp luật chuyên ngành (Luật An toàn thực phẩm, Luật Bảo vệ môi trường,...). Vì vậy đề nghị nghiên cứu, cân nhắc cắt giảm, đơn giản hóa đối với thành phần hồ sơ này.</w:t>
            </w:r>
          </w:p>
        </w:tc>
        <w:tc>
          <w:tcPr>
            <w:tcW w:w="4567" w:type="dxa"/>
          </w:tcPr>
          <w:p w14:paraId="15A1356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Dự thảo Nghị định đã chuyển từ “Kế hoạch liên kết” sang “Dự án liên kết” nhằm thống nhất với nội dung đề nghị hỗ trợ từ ngân sách nhà nước, đồng thời rà soát, lược bỏ các nội dung trùng lặp giữa Đơn đề nghị và Dự án liên kết. Mẫu số 02 sẽ tiếp tục được hoàn thiện theo hướng có hướng dẫn kê khai cụ thể, đơn giản, dễ thực hiện, bảo đảm phù hợp cả cấp tỉnh và cấp xã, giảm chi phí tuân thủ cho tổ chức, cá nhân nhưng vẫn bảo đảm đủ thông tin phục vụ thẩm định, quyết định hỗ trợ từ ngân sách nhà nước.</w:t>
            </w:r>
          </w:p>
          <w:p w14:paraId="00692D9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Dự thảo đã chỉnh sửa theo hướng đơn giản hóa thành phần hồ sơ, không yêu cầu bắt buộc phải nộp chứng nhận chuyên ngành mà cho phép sử dụng bản sao hoặc tài liệu chứng minh hoặc cam kết thực hiện theo quy định của pháp luật chuyên ngành.</w:t>
            </w:r>
          </w:p>
        </w:tc>
      </w:tr>
      <w:tr w14:paraId="2DA6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0F837C6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2477BD1">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cs="Times New Roman"/>
                <w:sz w:val="26"/>
                <w:szCs w:val="26"/>
                <w:lang w:val="vi-VN"/>
              </w:rPr>
            </w:pPr>
          </w:p>
        </w:tc>
        <w:tc>
          <w:tcPr>
            <w:tcW w:w="1898" w:type="dxa"/>
          </w:tcPr>
          <w:p w14:paraId="4B65CDF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Sở NN và MT tỉnh Lai Châu; Nghệ An</w:t>
            </w:r>
          </w:p>
        </w:tc>
        <w:tc>
          <w:tcPr>
            <w:tcW w:w="5475" w:type="dxa"/>
          </w:tcPr>
          <w:p w14:paraId="1B9AD8F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Tại điểm c, khoản 1, Điều 16 Đề nghị chỉnh sửa cụm từ </w:t>
            </w:r>
            <w:r>
              <w:rPr>
                <w:rFonts w:hint="default" w:ascii="Times New Roman" w:hAnsi="Times New Roman" w:cs="Times New Roman"/>
                <w:i/>
                <w:iCs/>
                <w:sz w:val="26"/>
                <w:szCs w:val="26"/>
                <w:lang w:val="vi-VN"/>
              </w:rPr>
              <w:t xml:space="preserve">“Điểm 2 Khoản 3 Điều 5 của Nghị định này” </w:t>
            </w:r>
            <w:r>
              <w:rPr>
                <w:rFonts w:hint="default" w:ascii="Times New Roman" w:hAnsi="Times New Roman" w:cs="Times New Roman"/>
                <w:sz w:val="26"/>
                <w:szCs w:val="26"/>
                <w:lang w:val="vi-VN"/>
              </w:rPr>
              <w:t xml:space="preserve">thành cụm từ </w:t>
            </w:r>
            <w:r>
              <w:rPr>
                <w:rFonts w:hint="default" w:ascii="Times New Roman" w:hAnsi="Times New Roman" w:cs="Times New Roman"/>
                <w:i/>
                <w:iCs/>
                <w:sz w:val="26"/>
                <w:szCs w:val="26"/>
                <w:lang w:val="vi-VN"/>
              </w:rPr>
              <w:t>“điểm c khoản 3 Điều 5 của Nghị định này</w:t>
            </w:r>
            <w:r>
              <w:rPr>
                <w:rFonts w:hint="default" w:ascii="Times New Roman" w:hAnsi="Times New Roman" w:cs="Times New Roman"/>
                <w:sz w:val="26"/>
                <w:szCs w:val="26"/>
                <w:lang w:val="vi-VN"/>
              </w:rPr>
              <w:t>” cho chính xác, vì điểm c khoản 3 Điều 5 của dự thảo Nghị định quy định: “</w:t>
            </w:r>
            <w:r>
              <w:rPr>
                <w:rFonts w:hint="default" w:ascii="Times New Roman" w:hAnsi="Times New Roman" w:cs="Times New Roman"/>
                <w:i/>
                <w:iCs/>
                <w:sz w:val="26"/>
                <w:szCs w:val="26"/>
                <w:lang w:val="vi-VN"/>
              </w:rPr>
              <w:t>Mô hình chuỗi giá trị mở, không có chủ thể trung tâm cố định, vận hành linh hoạt theo thị trường,…”.</w:t>
            </w:r>
          </w:p>
        </w:tc>
        <w:tc>
          <w:tcPr>
            <w:tcW w:w="4567" w:type="dxa"/>
          </w:tcPr>
          <w:p w14:paraId="1E83497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Dự thảo đã chỉnh sửa thành “điểm c khoản 3 Điều 5 của Nghị định này” để bảo đảm chính xác trong viện dẫn quy phạm pháp luật.</w:t>
            </w:r>
          </w:p>
        </w:tc>
      </w:tr>
      <w:tr w14:paraId="0064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2399F5E">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67A3A56C">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cs="Times New Roman"/>
                <w:sz w:val="26"/>
                <w:szCs w:val="26"/>
                <w:lang w:val="vi-VN"/>
              </w:rPr>
            </w:pPr>
          </w:p>
        </w:tc>
        <w:tc>
          <w:tcPr>
            <w:tcW w:w="1898" w:type="dxa"/>
          </w:tcPr>
          <w:p w14:paraId="0C0E1CF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Thủy sản và kiểm ngư; UBND tỉnh Quảng Trị</w:t>
            </w:r>
          </w:p>
        </w:tc>
        <w:tc>
          <w:tcPr>
            <w:tcW w:w="5475" w:type="dxa"/>
          </w:tcPr>
          <w:p w14:paraId="147B005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i/>
                <w:iCs/>
                <w:sz w:val="26"/>
                <w:szCs w:val="26"/>
              </w:rPr>
            </w:pPr>
            <w:r>
              <w:rPr>
                <w:rFonts w:hint="default" w:ascii="Times New Roman" w:hAnsi="Times New Roman" w:cs="Times New Roman"/>
                <w:sz w:val="26"/>
                <w:szCs w:val="26"/>
              </w:rPr>
              <w:t>Tại khoản 1 hồ sơ (thành phần hồ sơ) theo mẫu bổ sung quy định</w:t>
            </w:r>
            <w:r>
              <w:rPr>
                <w:rFonts w:hint="default" w:ascii="Times New Roman" w:hAnsi="Times New Roman" w:cs="Times New Roman"/>
                <w:i/>
                <w:iCs/>
                <w:sz w:val="26"/>
                <w:szCs w:val="26"/>
              </w:rPr>
              <w:t>“Chủ trì liên kết chịu trách nhiệm về tính trung thực của hồ sơ; nội dung đề nghị hỗ trợ phải gắn với hợp đồng liên kết và kế hoạch liên kết có khả năng thực hiện, không trùng lặp, không hưởng hỗ trợ nhiều lần cho cùng một nội dung.”</w:t>
            </w:r>
          </w:p>
        </w:tc>
        <w:tc>
          <w:tcPr>
            <w:tcW w:w="4567" w:type="dxa"/>
          </w:tcPr>
          <w:p w14:paraId="4DC7ADD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Dự thảo đã bổ sung quy định tại khoản 1 Điều 16 theo hướng: “Chủ trì liên kết chịu trách nhiệm trước pháp luật về tính đầy đủ, trung thực, chính xác của hồ sơ; bảo đảm nội dung đề nghị hỗ trợ không trùng lặp, không hưởng nhiều chính sách hỗ trợ từ ngân sách nhà nước cho cùng một nội dung, cùng thời điểm.”</w:t>
            </w:r>
          </w:p>
        </w:tc>
      </w:tr>
      <w:tr w14:paraId="684D1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6C6D281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E3C440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390AE7E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UBND tỉnh Quảng Trị</w:t>
            </w:r>
          </w:p>
        </w:tc>
        <w:tc>
          <w:tcPr>
            <w:tcW w:w="5475" w:type="dxa"/>
          </w:tcPr>
          <w:p w14:paraId="72708D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xem xét, bổ sung thêm mẫu Hợp đồng liên kết (gồm các nội dung cơ bản theo quy định tại Điều 6) Lý do: Hợp đồng liên kết là một thành phần bắt buộc trong hồ sơ đề nghị phê duyệt và nộp để giải quyết theo thủ tục hành chính. Vì vậy đề nghị có mẫu hợp đồng cơ bản theo quy định (tùy theo tình hình thực tế có thể bổ sung thêm các nội dung) nhằm tạọ điều kiện thuận lợi cho chủ trì liên kết và các bên tham gia liên kết có căn cứ để xây dựng hồ sơ, tiếp cận dễ hơn chính sách hỗ trợ của nhà nước. Nếu không có mẫu Hợp đồng liên kết, dẫn đến khả năng các địa phương và chủ trì liên kết áp dụng khác nhau về nội dung, cấu trúc và chưa đáp ứng được tiêu chí tối thiểu của hợp đồng</w:t>
            </w:r>
          </w:p>
        </w:tc>
        <w:tc>
          <w:tcPr>
            <w:tcW w:w="4567" w:type="dxa"/>
          </w:tcPr>
          <w:p w14:paraId="47C52D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Dự thảo Nghị định đã quy định tương đối đầy đủ các nội dung chủ yếu của hợp đồng liên kết tại Điều 6 làm căn cứ để các chủ thể xây dựng hợp đồng phù hợp với đặc thù ngành hàng và thỏa thuận dân sự, thương mại giữa các bên. </w:t>
            </w:r>
          </w:p>
          <w:p w14:paraId="62EE3A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Tuy nhiên, để tạo thuận lợi trong tổ chức thực hiện và hạn chế cách hiểu khác nhau giữa các địa phương, cơ quan chủ trì soạn thảo sẽ nghiên cứu bổ sung mẫu hợp đồng liên kết tham khảo tại Phụ lục hoặc hướng dẫn thực hiện, theo hướng quy định các nội dung tối thiểu, không mang tính bắt buộc áp dụng cứng, bảo đảm tính linh hoạt theo thực tiễn liên kết và phù hợp quy định của pháp luật dân sự, thương mại.</w:t>
            </w:r>
          </w:p>
        </w:tc>
      </w:tr>
      <w:tr w14:paraId="5A11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01AA3E1E">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4CB7712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2. Trình tự, thủ tục phê duyệt:</w:t>
            </w:r>
          </w:p>
          <w:p w14:paraId="7B1DBEE4">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eastAsia="Times New Roman" w:cs="Times New Roman"/>
                <w:sz w:val="26"/>
                <w:szCs w:val="26"/>
                <w:lang w:eastAsia="vi-VN"/>
              </w:rPr>
            </w:pPr>
          </w:p>
        </w:tc>
        <w:tc>
          <w:tcPr>
            <w:tcW w:w="1898" w:type="dxa"/>
          </w:tcPr>
          <w:p w14:paraId="3F31214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Thủy sản và kiểm ngư</w:t>
            </w:r>
          </w:p>
        </w:tc>
        <w:tc>
          <w:tcPr>
            <w:tcW w:w="5475" w:type="dxa"/>
          </w:tcPr>
          <w:p w14:paraId="5AD7385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Bổ</w:t>
            </w:r>
            <w:r>
              <w:rPr>
                <w:rFonts w:hint="default" w:ascii="Times New Roman" w:hAnsi="Times New Roman" w:cs="Times New Roman"/>
                <w:sz w:val="26"/>
                <w:szCs w:val="26"/>
              </w:rPr>
              <w:t xml:space="preserve"> sung tiêu chí </w:t>
            </w:r>
            <w:r>
              <w:rPr>
                <w:rFonts w:hint="default" w:ascii="Times New Roman" w:hAnsi="Times New Roman" w:cs="Times New Roman"/>
                <w:iCs/>
                <w:sz w:val="26"/>
                <w:szCs w:val="26"/>
              </w:rPr>
              <w:t>“Đánh giá tính thực chất của liên kết; mức độ cam kết tiêu thụ; khả năng kiểm soát sản lượng, truy xuất</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rPr>
              <w:t>nguồn gốc (nếu có);hiệu quả kinh tế - xã hội.”</w:t>
            </w:r>
          </w:p>
        </w:tc>
        <w:tc>
          <w:tcPr>
            <w:tcW w:w="4567" w:type="dxa"/>
          </w:tcPr>
          <w:p w14:paraId="0D99A31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đã chỉnh sửa, bổ sung nội dung thẩm định tại điểm d khoản 4 Điều 16 theo hướng đánh giá tính thực chất của liên kết; năng lực tổ chức thực hiện; phương án tiêu thụ sản phẩm; khả năng truy xuất nguồn gốc, kiểm soát chất lượng và thị trường tiêu thụ; hiệu quả kinh tế, xã hội, môi trường của dự án liên kết, bảo đảm lựa chọn các dự án có tính khả thi, hiệu quả và tránh hình thức trong liên kết.</w:t>
            </w:r>
          </w:p>
        </w:tc>
      </w:tr>
      <w:tr w14:paraId="1BD7C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6306FC8B">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1E134A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65274A9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MT Hải Phòng</w:t>
            </w:r>
          </w:p>
        </w:tc>
        <w:tc>
          <w:tcPr>
            <w:tcW w:w="5475" w:type="dxa"/>
          </w:tcPr>
          <w:p w14:paraId="2F656E7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Mục 2, Điều 16. Hồ sơ và trình tự, thủ tục phê duyệt kết hoạch liên kết và nội dung hỗ trợ liên kết. Đề nghị ban soạn thảo cân nhắc không đưa nội dung thủ tục hành chính vào trong phê duyệt Kế hoạch liên kết. Lý do: Thực tiễn địa phương cho thấy các chủ trì liên kết thường không quen với việc thực hiện các thủ tục này, dó đó trong quá trình thực hiện phải hướng dẫn chỉnh sửa, bổ sung rất nhiều lần mới hoàn thiện hồ sơ để phê duyệt. Mặt khác, việc cắt giảm thủ tục hành chính là chủ trương và xu hướng tất yếu trong giai đoạn hiện nay.</w:t>
            </w:r>
          </w:p>
        </w:tc>
        <w:tc>
          <w:tcPr>
            <w:tcW w:w="4567" w:type="dxa"/>
          </w:tcPr>
          <w:p w14:paraId="614B2BA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Không tiếp thu. Việc quy định hồ sơ, trình tự, thủ tục phê duyệt là cần thiết nhằm bảo đảm có căn cứ pháp lý để xem xét, quyết định hỗ trợ từ ngân sách nhà nước; bảo đảm công khai, minh bạch, đúng đối tượng, đúng nội dung hỗ trợ và trách nhiệm giải trình. Tuy nhiên, dự thảo đã được chỉnh sửa theo hướng đơn giản hóa thủ tục hành chính, gồm: rút gọn thành phần hồ sơ; tiếp nhận theo cơ chế một cửa; cho phép nộp trực tiếp, trực tuyến hoặc qua bưu chính công ích; chỉ yêu cầu bổ sung hồ sơ một lần; rút ngắn thời gian xử lý và khuyến khích thực hiện trên môi trường điện tử.</w:t>
            </w:r>
          </w:p>
        </w:tc>
      </w:tr>
      <w:tr w14:paraId="00C6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259EFCD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688718C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a) Trường hợp thuộc thẩm quyền của Ủy ban nhân dân cấp tỉnh: </w:t>
            </w:r>
          </w:p>
          <w:p w14:paraId="21CEFD7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 Chủ trì liên kết gửi 01 bộ hồ sơ tới Sở Nông nghiệp và Môi trường. </w:t>
            </w:r>
          </w:p>
          <w:p w14:paraId="1CDD756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Trong thời hạn 05 ngày làm việc kể từ ngày nhận hồ sơ, Sở Nông nghiệp và Môi trường kiểm tra tính đầy đủ của hồ sơ; trường hợp hồ sơ chưa đầy đủ thì hướng dẫn chủ trì liên kết hoàn thiện một lần bằng văn bản.</w:t>
            </w:r>
          </w:p>
          <w:p w14:paraId="76EE91D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 Sau khi nhận đủ hồ sơ theo quy định tại khoản 1 Điều này từ chủ trì liên kết, Sở Nông nghiệp và Môi trường thành lập Hội đồng thẩm định hồ sơ. Hội đồng thẩm định gồm lãnh đạo Sở Nông nghiệp và  Môi trường là Chủ tịch Hội đồng, các thành viên là đại diện Sở Tài chính, các sở ngành liên quan và lãnh đạo Ủy ban nhân dân các xã có liên quan. Trong thời hạn 15 ngày làm việc sau khi nhận được hồ sơ, Hội đồng tổ chức thẩm định, nếu hồ sơ đủ điều kiện thì Sở Nông nghiệp và Môi trường có tờ trình trình Chủ tịch Ủy ban nhân dân cấp tỉnh xem xét phê duyệt. Nếu hồ sơ không đủ điều kiện thì trong vòng 10 ngày làm việc kể từ khi thẩm định, Sở Nông nghiệp và  Môi trường phải thông báo và nêu rõ lý do cho chủ trì liên kết được biết. </w:t>
            </w:r>
          </w:p>
          <w:p w14:paraId="395EBF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Trên cơ sở kết quả thẩm định, Sở Nông nghiệp và Môi trường trình Chủ tịch Ủy ban nhân dân cấp tỉnh xem xét, quyết định phê duyệt hỗ trợ. Trong thời hạn 10 ngày làm việc kể từ ngày nhận được hồ sơ trình, Chủ tịch Ủy ban nhân dân cấp tỉnh ban hành quyết định phê duyệt hỗ trợ; trường hợp không phê duyệt phải trả lời bằng văn bản và nêu rõ lý do.</w:t>
            </w:r>
          </w:p>
          <w:p w14:paraId="5F56BE9D">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eastAsia="Times New Roman" w:cs="Times New Roman"/>
                <w:sz w:val="26"/>
                <w:szCs w:val="26"/>
                <w:lang w:eastAsia="vi-VN"/>
              </w:rPr>
            </w:pPr>
          </w:p>
        </w:tc>
        <w:tc>
          <w:tcPr>
            <w:tcW w:w="1898" w:type="dxa"/>
          </w:tcPr>
          <w:p w14:paraId="1DDB663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Môi trường </w:t>
            </w:r>
            <w:r>
              <w:rPr>
                <w:rFonts w:hint="default" w:ascii="Times New Roman" w:hAnsi="Times New Roman" w:cs="Times New Roman"/>
                <w:sz w:val="26"/>
                <w:szCs w:val="26"/>
              </w:rPr>
              <w:t>Hà Tĩnh</w:t>
            </w:r>
          </w:p>
        </w:tc>
        <w:tc>
          <w:tcPr>
            <w:tcW w:w="5475" w:type="dxa"/>
          </w:tcPr>
          <w:p w14:paraId="0F39DE6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Tại điểm a khoản 2 đề nghị xem xét sửa thẩm quyền phê duyệt kế hoạch liên kết “Chủ tịch UBND cấp tỉnh” thành “Ủy ban nhân dân tỉnh”, đồng thời sửa đổi Khoản 4 Điều 21. </w:t>
            </w:r>
          </w:p>
          <w:p w14:paraId="04EC923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Gạch đầu dòng thứ 4, điểm a khoản 2 và gạch đầu dòng thứ 3, điểm b khoản 2: Đề nghị sửa cụm từ “quyết định phê duyệt hỗ trợ” thành cụm từ “quyết định phê duyệt kế hoạch liên kết”</w:t>
            </w:r>
          </w:p>
        </w:tc>
        <w:tc>
          <w:tcPr>
            <w:tcW w:w="4567" w:type="dxa"/>
          </w:tcPr>
          <w:p w14:paraId="02B1F9B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Tiếp thu. Dự thảo đã chỉnh sửa theo hướng quy định Ủy ban nhân dân cấp tỉnh/cấp xã quyết định phê duyệt dự án liên kết, bảo đảm thống nhất với nguyên tắc phân cấp quản lý nhà nước ở địa phương</w:t>
            </w:r>
            <w:r>
              <w:rPr>
                <w:rFonts w:hint="default" w:ascii="Times New Roman" w:hAnsi="Times New Roman" w:cs="Times New Roman"/>
                <w:sz w:val="26"/>
                <w:szCs w:val="26"/>
                <w:lang w:val="en-US"/>
              </w:rPr>
              <w:t>.</w:t>
            </w:r>
          </w:p>
          <w:p w14:paraId="4BCDD82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Dự thảo đã chỉnh sửa thống nhất theo hướng sử dụng cụm từ “quyết định phê duyệt dự án liên kết và nội dung hỗ trợ”.</w:t>
            </w:r>
          </w:p>
        </w:tc>
      </w:tr>
      <w:tr w14:paraId="126C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2AD0285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EA75C82">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cs="Times New Roman"/>
                <w:sz w:val="26"/>
                <w:szCs w:val="26"/>
                <w:lang w:val="vi-VN"/>
              </w:rPr>
            </w:pPr>
          </w:p>
        </w:tc>
        <w:tc>
          <w:tcPr>
            <w:tcW w:w="1898" w:type="dxa"/>
          </w:tcPr>
          <w:p w14:paraId="459499B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Văn phòng Bộ; UBND tỉnh Thanh Hóa; Cục Lâm nghiệp và Kiểm Lâm</w:t>
            </w:r>
          </w:p>
        </w:tc>
        <w:tc>
          <w:tcPr>
            <w:tcW w:w="5475" w:type="dxa"/>
          </w:tcPr>
          <w:p w14:paraId="5131BBA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Đề nghị nghiên cứu điều chỉnh thời gian thực hiện các bước trong quy trình phê duyệt kế hoạch liên kết và nội dung hỗ trợ liên kết theo hướng rút ngắn thời gian giải quyết thủ tục hành chính, bảo đảm thực hiện Nghị quyết 68/NQ/TW ngày 04/5/2025 của Trung ương về phát triển kinh tế tư nhân; Nghị quyết số 66/NQ-CP ngày 26/3/2025 của Chính phủ về Chương trình cắt giảm, đơn giản hóa thủ tục hành chính liên quan đến hoạt động sản xuất, kinh doanh giai đoạn năm 2025 và 2026 (mục tiêu giảm ít nhất 30% thời gian giải quyết thủ tục hành chính), cụ thể: Thời gian kiểm tra tính đầy đủ của hồ sơ: từ 05 ngày làm việc kể từ ngày nhận hồ sơ xuống còn 03 ngày làm việc kể từ ngày nhận hồ sơ; </w:t>
            </w:r>
          </w:p>
          <w:p w14:paraId="7BF85C1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 Thời gian tổ chức thẩm định và trình Chủ tịch Ủy ban nhân dân cấp tỉnh xem xét, phê duyệt: từ 15 ngày làm việc kể từ ngày nhận đủ hồ sơ xuống còn 10 ngày làm việc kể từ ngày nhận đủ hồ sơ;  - Thời gian thông báo cho chủ trì liên kết về việc hồ sơ không đủ điều kiện: từ 10 ngày làm việc kể từ khi hoàn thành thẩm định xuống còn 07 ngày làm việc kể từ khi hoàn thành thẩm định; </w:t>
            </w:r>
          </w:p>
          <w:p w14:paraId="1CA67DB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 Thời gian Chủ tịch Ủy ban nhân dân cấp tỉnh ban hành quyết định phê duyệt hoặc không phê duyệt: từ 10 ngày làm việc kể từ ngày nhận hồ sơ trình xuống còn 07 ngày làm việc kể từ ngày nhận hồ sơ trình. </w:t>
            </w:r>
          </w:p>
          <w:p w14:paraId="70DA5EB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Đề nghị xem xét, bổ sung quy định về hình thức nộp hồ sơ (trực tiếp, trực tuyến); đồng thời rà soát, xem xét rút ngắn thời gian giải quyết thủ tục  theo yêu cầu tại Kết luận số 18-KL/TW ngày 02/4/2026 kết luận Hội nghị lần thứ hai Ban Chấp hành Trung ương Đảng khóa XIV.</w:t>
            </w:r>
          </w:p>
        </w:tc>
        <w:tc>
          <w:tcPr>
            <w:tcW w:w="4567" w:type="dxa"/>
          </w:tcPr>
          <w:p w14:paraId="047187A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Dự thảo đã chỉnh sửa theo hướng rút ngắn thời gian giải quyết thủ tục hành chính, cụ thể: thời gian kiểm tra hồ sơ giảm còn 03 ngày làm việc; thời gian Chủ tịch/Ủy ban nhân dân cấp tỉnh xem xét phê duyệt giảm còn 07 ngày làm việc; thời gian thông báo trường hợp không đủ điều kiện được rút ngắn còn 05 ngày làm việc. Đồng thời, quy trình được đơn giản hóa theo cơ chế một cửa, một lần yêu cầu bổ sung hồ sơ và đẩy mạnh thực hiện trực tuyến nhằm giảm chi phí tuân thủ cho tổ chức, cá nhân.</w:t>
            </w:r>
          </w:p>
          <w:p w14:paraId="5ACE778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đề nghị bổ sung hình thức nộp hồ sơ trực tiếp, trực tuyến và rút ngắn thời gian giải quyết thủ tục. Dự thảo đã bổ sung đầy đủ hình thức nộp hồ sơ gồm trực tiếp, qua dịch vụ bưu chính công ích và trực tuyến trên Hệ thống thông tin giải quyết thủ tục hành chính; đồng thời bổ sung quy định khuyến khích tiếp nhận, thẩm định, phê duyệt và giám sát dự án liên kết trên môi trường điện tử.</w:t>
            </w:r>
          </w:p>
        </w:tc>
      </w:tr>
      <w:tr w14:paraId="7E38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004A883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65785A2">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eastAsia="Times New Roman" w:cs="Times New Roman"/>
                <w:sz w:val="26"/>
                <w:szCs w:val="26"/>
                <w:lang w:eastAsia="vi-VN"/>
              </w:rPr>
            </w:pPr>
          </w:p>
        </w:tc>
        <w:tc>
          <w:tcPr>
            <w:tcW w:w="1898" w:type="dxa"/>
          </w:tcPr>
          <w:p w14:paraId="26AE7CC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Sở Nông nghiệp và Môi trương TP Hà Nội</w:t>
            </w:r>
          </w:p>
        </w:tc>
        <w:tc>
          <w:tcPr>
            <w:tcW w:w="5475" w:type="dxa"/>
          </w:tcPr>
          <w:p w14:paraId="1F2C7F08">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eastAsia="Aptos" w:cs="Times New Roman"/>
                <w:sz w:val="26"/>
                <w:szCs w:val="26"/>
                <w:lang w:val="vi-VN"/>
              </w:rPr>
            </w:pPr>
            <w:r>
              <w:rPr>
                <w:rFonts w:hint="default" w:ascii="Times New Roman" w:hAnsi="Times New Roman" w:eastAsia="Aptos" w:cs="Times New Roman"/>
                <w:sz w:val="26"/>
                <w:szCs w:val="26"/>
                <w:lang w:val="vi-VN"/>
              </w:rPr>
              <w:t>Đề nghị sửa như sau: “</w:t>
            </w:r>
            <w:r>
              <w:rPr>
                <w:rFonts w:hint="default" w:ascii="Times New Roman" w:hAnsi="Times New Roman" w:eastAsia="Times New Roman" w:cs="Times New Roman"/>
                <w:i/>
                <w:iCs/>
                <w:sz w:val="26"/>
                <w:szCs w:val="26"/>
                <w:lang w:eastAsia="vi-VN"/>
              </w:rPr>
              <w:t xml:space="preserve">- Sau khi nhận đủ hồ sơ …, </w:t>
            </w:r>
            <w:r>
              <w:rPr>
                <w:rFonts w:hint="default" w:ascii="Times New Roman" w:hAnsi="Times New Roman" w:eastAsia="Times New Roman" w:cs="Times New Roman"/>
                <w:b/>
                <w:bCs/>
                <w:i/>
                <w:iCs/>
                <w:sz w:val="26"/>
                <w:szCs w:val="26"/>
                <w:lang w:eastAsia="vi-VN"/>
              </w:rPr>
              <w:t>các thành viên là đại diện</w:t>
            </w:r>
            <w:r>
              <w:rPr>
                <w:rFonts w:hint="default" w:ascii="Times New Roman" w:hAnsi="Times New Roman" w:eastAsia="Times New Roman" w:cs="Times New Roman"/>
                <w:i/>
                <w:iCs/>
                <w:sz w:val="26"/>
                <w:szCs w:val="26"/>
                <w:lang w:eastAsia="vi-VN"/>
              </w:rPr>
              <w:t xml:space="preserve"> </w:t>
            </w:r>
            <w:r>
              <w:rPr>
                <w:rFonts w:hint="default" w:ascii="Times New Roman" w:hAnsi="Times New Roman" w:eastAsia="Times New Roman" w:cs="Times New Roman"/>
                <w:b/>
                <w:bCs/>
                <w:i/>
                <w:iCs/>
                <w:sz w:val="26"/>
                <w:szCs w:val="26"/>
                <w:lang w:eastAsia="vi-VN"/>
              </w:rPr>
              <w:t>các sở ngành liên quan và lãnh đạo Ủy ban nhân dân các xã có liên quan</w:t>
            </w:r>
            <w:r>
              <w:rPr>
                <w:rFonts w:hint="default" w:ascii="Times New Roman" w:hAnsi="Times New Roman" w:eastAsia="Times New Roman" w:cs="Times New Roman"/>
                <w:i/>
                <w:iCs/>
                <w:sz w:val="26"/>
                <w:szCs w:val="26"/>
                <w:lang w:eastAsia="vi-VN"/>
              </w:rPr>
              <w:t xml:space="preserve">….” </w:t>
            </w:r>
          </w:p>
          <w:p w14:paraId="452BFDC6">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cs="Times New Roman"/>
                <w:i/>
                <w:iCs/>
                <w:sz w:val="26"/>
                <w:szCs w:val="26"/>
                <w:shd w:val="clear" w:color="auto" w:fill="FFFFFF"/>
              </w:rPr>
            </w:pPr>
            <w:r>
              <w:rPr>
                <w:rFonts w:hint="default" w:ascii="Times New Roman" w:hAnsi="Times New Roman" w:eastAsia="Aptos" w:cs="Times New Roman"/>
                <w:sz w:val="26"/>
                <w:szCs w:val="26"/>
                <w:lang w:val="vi-VN"/>
              </w:rPr>
              <w:t xml:space="preserve">Lý do: </w:t>
            </w:r>
            <w:r>
              <w:rPr>
                <w:rFonts w:hint="default" w:ascii="Times New Roman" w:hAnsi="Times New Roman" w:eastAsia="Times New Roman" w:cs="Times New Roman"/>
                <w:sz w:val="26"/>
                <w:szCs w:val="26"/>
                <w:lang w:val="vi-VN"/>
              </w:rPr>
              <w:t xml:space="preserve"> Căn cứ khoản 3 Điều 47, điểm b khoản 1 Điều 70 Luật Ngân sách nh</w:t>
            </w:r>
            <w:bookmarkStart w:id="1" w:name="dieu_47"/>
            <w:r>
              <w:rPr>
                <w:rFonts w:hint="default" w:ascii="Times New Roman" w:hAnsi="Times New Roman" w:eastAsia="Times New Roman" w:cs="Times New Roman"/>
                <w:sz w:val="26"/>
                <w:szCs w:val="26"/>
                <w:lang w:val="vi-VN"/>
              </w:rPr>
              <w:t xml:space="preserve">à nước 2025, trong đó quy định: </w:t>
            </w:r>
            <w:r>
              <w:rPr>
                <w:rFonts w:hint="default" w:ascii="Times New Roman" w:hAnsi="Times New Roman" w:cs="Times New Roman"/>
                <w:sz w:val="26"/>
                <w:szCs w:val="26"/>
                <w:shd w:val="clear" w:color="auto" w:fill="FFFFFF"/>
                <w:lang w:val="vi-VN"/>
              </w:rPr>
              <w:t>“</w:t>
            </w:r>
            <w:r>
              <w:rPr>
                <w:rFonts w:hint="default" w:ascii="Times New Roman" w:hAnsi="Times New Roman" w:cs="Times New Roman"/>
                <w:b/>
                <w:bCs/>
                <w:i/>
                <w:iCs/>
                <w:sz w:val="26"/>
                <w:szCs w:val="26"/>
                <w:shd w:val="clear" w:color="auto" w:fill="FFFFFF"/>
                <w:lang w:val="en"/>
              </w:rPr>
              <w:t>Điều</w:t>
            </w:r>
            <w:r>
              <w:rPr>
                <w:rFonts w:hint="default" w:ascii="Times New Roman" w:hAnsi="Times New Roman" w:cs="Times New Roman"/>
                <w:b/>
                <w:bCs/>
                <w:i/>
                <w:iCs/>
                <w:sz w:val="26"/>
                <w:szCs w:val="26"/>
                <w:shd w:val="clear" w:color="auto" w:fill="FFFFFF"/>
              </w:rPr>
              <w:t> 47. Trách nhiệm của các cơ quan, tổ chức, đơn vị trong việc lập dự toán ngân sách hằng năm</w:t>
            </w:r>
            <w:bookmarkEnd w:id="1"/>
            <w:r>
              <w:rPr>
                <w:rFonts w:hint="default" w:ascii="Times New Roman" w:hAnsi="Times New Roman" w:cs="Times New Roman"/>
                <w:b/>
                <w:bCs/>
                <w:i/>
                <w:iCs/>
                <w:sz w:val="26"/>
                <w:szCs w:val="26"/>
                <w:shd w:val="clear" w:color="auto" w:fill="FFFFFF"/>
              </w:rPr>
              <w:t xml:space="preserve">. </w:t>
            </w:r>
            <w:r>
              <w:rPr>
                <w:rFonts w:hint="default" w:ascii="Times New Roman" w:hAnsi="Times New Roman" w:cs="Times New Roman"/>
                <w:i/>
                <w:iCs/>
                <w:sz w:val="26"/>
                <w:szCs w:val="26"/>
                <w:shd w:val="clear" w:color="auto" w:fill="FFFFFF"/>
                <w:lang w:val="en"/>
              </w:rPr>
              <w:t>Cơ quan tài chính các c</w:t>
            </w:r>
            <w:r>
              <w:rPr>
                <w:rFonts w:hint="default" w:ascii="Times New Roman" w:hAnsi="Times New Roman" w:cs="Times New Roman"/>
                <w:i/>
                <w:iCs/>
                <w:sz w:val="26"/>
                <w:szCs w:val="26"/>
                <w:shd w:val="clear" w:color="auto" w:fill="FFFFFF"/>
              </w:rPr>
              <w:t xml:space="preserve">ấp ở địa phương </w:t>
            </w:r>
            <w:r>
              <w:rPr>
                <w:rFonts w:hint="default" w:ascii="Times New Roman" w:hAnsi="Times New Roman" w:cs="Times New Roman"/>
                <w:b/>
                <w:bCs/>
                <w:i/>
                <w:iCs/>
                <w:sz w:val="26"/>
                <w:szCs w:val="26"/>
                <w:shd w:val="clear" w:color="auto" w:fill="FFFFFF"/>
              </w:rPr>
              <w:t>tổng hợp, cân đối dự toán ngân sách</w:t>
            </w:r>
            <w:r>
              <w:rPr>
                <w:rFonts w:hint="default" w:ascii="Times New Roman" w:hAnsi="Times New Roman" w:cs="Times New Roman"/>
                <w:i/>
                <w:iCs/>
                <w:sz w:val="26"/>
                <w:szCs w:val="26"/>
                <w:shd w:val="clear" w:color="auto" w:fill="FFFFFF"/>
              </w:rPr>
              <w:t xml:space="preserve"> của các cơ quan, tổ chức, đơn vị cùng cấp, dự toán ngân sách địa phương cấp dưới; chủ trì phối hợp với cơ quan liên quan trong việc tổng hợp, lập dự toán ngân sách địa phương, phương án phân bổ ngân sách cấp mình theo các chỉ tiêu quy định tại </w:t>
            </w:r>
            <w:bookmarkStart w:id="2" w:name="tc_42"/>
            <w:r>
              <w:rPr>
                <w:rFonts w:hint="default" w:ascii="Times New Roman" w:hAnsi="Times New Roman" w:cs="Times New Roman"/>
                <w:i/>
                <w:iCs/>
                <w:sz w:val="26"/>
                <w:szCs w:val="26"/>
                <w:shd w:val="clear" w:color="auto" w:fill="FFFFFF"/>
              </w:rPr>
              <w:t>khoản 1 và khoản 2 Điều 31 của Luật này</w:t>
            </w:r>
            <w:bookmarkEnd w:id="2"/>
            <w:r>
              <w:rPr>
                <w:rFonts w:hint="default" w:ascii="Times New Roman" w:hAnsi="Times New Roman" w:cs="Times New Roman"/>
                <w:i/>
                <w:iCs/>
                <w:sz w:val="26"/>
                <w:szCs w:val="26"/>
                <w:shd w:val="clear" w:color="auto" w:fill="FFFFFF"/>
              </w:rPr>
              <w:t>, báo cáo Ủy ban nhân dân cùng cấp.</w:t>
            </w:r>
          </w:p>
          <w:p w14:paraId="2D60F149">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i/>
                <w:iCs/>
                <w:sz w:val="26"/>
                <w:szCs w:val="26"/>
              </w:rPr>
            </w:pPr>
            <w:bookmarkStart w:id="3" w:name="dieu_70"/>
            <w:r>
              <w:rPr>
                <w:rFonts w:hint="default" w:ascii="Times New Roman" w:hAnsi="Times New Roman" w:eastAsia="Times New Roman" w:cs="Times New Roman"/>
                <w:b/>
                <w:bCs/>
                <w:i/>
                <w:iCs/>
                <w:sz w:val="26"/>
                <w:szCs w:val="26"/>
                <w:lang w:val="en"/>
              </w:rPr>
              <w:t>Điều</w:t>
            </w:r>
            <w:r>
              <w:rPr>
                <w:rFonts w:hint="default" w:ascii="Times New Roman" w:hAnsi="Times New Roman" w:eastAsia="Times New Roman" w:cs="Times New Roman"/>
                <w:b/>
                <w:bCs/>
                <w:i/>
                <w:iCs/>
                <w:sz w:val="26"/>
                <w:szCs w:val="26"/>
              </w:rPr>
              <w:t> 70. Tổng hợp quyết toán ngân sách nhà nước</w:t>
            </w:r>
            <w:bookmarkEnd w:id="3"/>
          </w:p>
          <w:p w14:paraId="7B153EDB">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i/>
                <w:iCs/>
                <w:sz w:val="26"/>
                <w:szCs w:val="26"/>
              </w:rPr>
            </w:pPr>
            <w:r>
              <w:rPr>
                <w:rFonts w:hint="default" w:ascii="Times New Roman" w:hAnsi="Times New Roman" w:eastAsia="Times New Roman" w:cs="Times New Roman"/>
                <w:i/>
                <w:iCs/>
                <w:sz w:val="26"/>
                <w:szCs w:val="26"/>
                <w:lang w:val="en"/>
              </w:rPr>
              <w:t>1. Cơ quan t</w:t>
            </w:r>
            <w:r>
              <w:rPr>
                <w:rFonts w:hint="default" w:ascii="Times New Roman" w:hAnsi="Times New Roman" w:eastAsia="Times New Roman" w:cs="Times New Roman"/>
                <w:i/>
                <w:iCs/>
                <w:sz w:val="26"/>
                <w:szCs w:val="26"/>
              </w:rPr>
              <w:t>ổng hợp quyết toán:</w:t>
            </w:r>
          </w:p>
          <w:p w14:paraId="79194061">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pacing w:val="-4"/>
                <w:sz w:val="26"/>
                <w:szCs w:val="26"/>
                <w:shd w:val="clear" w:color="auto" w:fill="FFFFFF"/>
                <w:lang w:val="vi-VN"/>
              </w:rPr>
            </w:pPr>
            <w:r>
              <w:rPr>
                <w:rFonts w:hint="default" w:ascii="Times New Roman" w:hAnsi="Times New Roman" w:eastAsia="Times New Roman" w:cs="Times New Roman"/>
                <w:i/>
                <w:iCs/>
                <w:spacing w:val="-4"/>
                <w:sz w:val="26"/>
                <w:szCs w:val="26"/>
                <w:lang w:val="en"/>
              </w:rPr>
              <w:t>b) Cơ quan tài chính các c</w:t>
            </w:r>
            <w:r>
              <w:rPr>
                <w:rFonts w:hint="default" w:ascii="Times New Roman" w:hAnsi="Times New Roman" w:eastAsia="Times New Roman" w:cs="Times New Roman"/>
                <w:i/>
                <w:iCs/>
                <w:spacing w:val="-4"/>
                <w:sz w:val="26"/>
                <w:szCs w:val="26"/>
              </w:rPr>
              <w:t xml:space="preserve">ấp kiểm tra quyết toán của đơn vị dự toán ngân sách cấp I cùng cấp về tính đầy đủ, khớp đúng </w:t>
            </w:r>
            <w:r>
              <w:rPr>
                <w:rFonts w:hint="default" w:ascii="Times New Roman" w:hAnsi="Times New Roman" w:eastAsia="Times New Roman" w:cs="Times New Roman"/>
                <w:b/>
                <w:bCs/>
                <w:i/>
                <w:iCs/>
                <w:spacing w:val="-4"/>
                <w:sz w:val="26"/>
                <w:szCs w:val="26"/>
              </w:rPr>
              <w:t>giữa các số liệu quyết toán với xác nhận của Kho bạc Nhà nước; tổng hợp quyết toán năm</w:t>
            </w:r>
            <w:r>
              <w:rPr>
                <w:rFonts w:hint="default" w:ascii="Times New Roman" w:hAnsi="Times New Roman" w:eastAsia="Times New Roman" w:cs="Times New Roman"/>
                <w:i/>
                <w:iCs/>
                <w:spacing w:val="-4"/>
                <w:sz w:val="26"/>
                <w:szCs w:val="26"/>
              </w:rPr>
              <w:t xml:space="preserve"> của các đơn vị dự toán cấp I thuộc ngân sách cấp mình và quyết toán năm của ngân sách cấp dưới.</w:t>
            </w:r>
            <w:r>
              <w:rPr>
                <w:rFonts w:hint="default" w:ascii="Times New Roman" w:hAnsi="Times New Roman" w:cs="Times New Roman"/>
                <w:spacing w:val="-4"/>
                <w:sz w:val="26"/>
                <w:szCs w:val="26"/>
                <w:shd w:val="clear" w:color="auto" w:fill="FFFFFF"/>
                <w:lang w:val="vi-VN"/>
              </w:rPr>
              <w:t>”</w:t>
            </w:r>
          </w:p>
          <w:p w14:paraId="0EF5E039">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pacing w:val="-4"/>
                <w:sz w:val="26"/>
                <w:szCs w:val="26"/>
                <w:lang w:eastAsia="vi-VN"/>
              </w:rPr>
            </w:pPr>
            <w:r>
              <w:rPr>
                <w:rFonts w:hint="default" w:ascii="Times New Roman" w:hAnsi="Times New Roman" w:eastAsia="Times New Roman" w:cs="Times New Roman"/>
                <w:spacing w:val="-4"/>
                <w:sz w:val="26"/>
                <w:szCs w:val="26"/>
                <w:lang w:val="vi-VN"/>
              </w:rPr>
              <w:t xml:space="preserve">Như vậy, để đảm bảo giảm bớt thủ tục hành chính, đồng thời phù hợp với chức năng nhiệm vụ và nguồn nhân lực của cơ quan tài chính, đề nghị </w:t>
            </w:r>
            <w:r>
              <w:rPr>
                <w:rFonts w:hint="default" w:ascii="Times New Roman" w:hAnsi="Times New Roman" w:eastAsia="Times New Roman" w:cs="Times New Roman"/>
                <w:spacing w:val="-4"/>
                <w:sz w:val="26"/>
                <w:szCs w:val="26"/>
              </w:rPr>
              <w:t>cơ quan soạn thảo</w:t>
            </w:r>
            <w:r>
              <w:rPr>
                <w:rFonts w:hint="default" w:ascii="Times New Roman" w:hAnsi="Times New Roman" w:eastAsia="Times New Roman" w:cs="Times New Roman"/>
                <w:spacing w:val="-4"/>
                <w:sz w:val="26"/>
                <w:szCs w:val="26"/>
                <w:lang w:val="vi-VN"/>
              </w:rPr>
              <w:t xml:space="preserve"> nghiên cứu, sửa đổi nội dung </w:t>
            </w:r>
            <w:r>
              <w:rPr>
                <w:rFonts w:hint="default" w:ascii="Times New Roman" w:hAnsi="Times New Roman" w:eastAsia="Times New Roman" w:cs="Times New Roman"/>
                <w:spacing w:val="-4"/>
                <w:sz w:val="26"/>
                <w:szCs w:val="26"/>
                <w:lang w:val="vi-VN" w:eastAsia="vi-VN"/>
              </w:rPr>
              <w:t>về t</w:t>
            </w:r>
            <w:r>
              <w:rPr>
                <w:rFonts w:hint="default" w:ascii="Times New Roman" w:hAnsi="Times New Roman" w:eastAsia="Times New Roman" w:cs="Times New Roman"/>
                <w:spacing w:val="-4"/>
                <w:sz w:val="26"/>
                <w:szCs w:val="26"/>
                <w:lang w:eastAsia="vi-VN"/>
              </w:rPr>
              <w:t>rình tự, thủ tục phê duyệt kết hoạch liên kết và nội dung hỗ trợ liên kết</w:t>
            </w:r>
            <w:r>
              <w:rPr>
                <w:rFonts w:hint="default" w:ascii="Times New Roman" w:hAnsi="Times New Roman" w:eastAsia="Times New Roman" w:cs="Times New Roman"/>
                <w:spacing w:val="-4"/>
                <w:sz w:val="26"/>
                <w:szCs w:val="26"/>
                <w:lang w:val="vi-VN" w:eastAsia="vi-VN"/>
              </w:rPr>
              <w:t xml:space="preserve"> (Khoản 2 Điều 16 dự thảo Nghị định). </w:t>
            </w:r>
          </w:p>
        </w:tc>
        <w:tc>
          <w:tcPr>
            <w:tcW w:w="4567" w:type="dxa"/>
          </w:tcPr>
          <w:p w14:paraId="09A79CD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Về đề nghị sửa thành phần Hội đồng thẩm định theo hướng “đại diện các sở ngành liên quan và lãnh đạo UBND các xã có liên quan”. Dự thảo đã chỉnh sửa theo hướng Hội đồng thẩm định gồm đại diện lãnh đạo Sở Nông nghiệp và Môi trường làm Chủ tịch Hội đồng; đại diện cơ quan tài chính, cơ quan chuyên môn có liên quan và đại diện Ủy ban nhân dân cấp xã nơi thực hiện dự án liên kết, bảo đảm phù hợp với nội dung thẩm định về nguồn vốn, khả năng cân đối ngân sách và trách nhiệm quản lý nhà nước tại địa phương.</w:t>
            </w:r>
          </w:p>
        </w:tc>
      </w:tr>
      <w:tr w14:paraId="4BB5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96E5A7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7991BF53">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eastAsia="Times New Roman" w:cs="Times New Roman"/>
                <w:sz w:val="26"/>
                <w:szCs w:val="26"/>
                <w:lang w:eastAsia="vi-VN"/>
              </w:rPr>
            </w:pPr>
          </w:p>
        </w:tc>
        <w:tc>
          <w:tcPr>
            <w:tcW w:w="1898" w:type="dxa"/>
          </w:tcPr>
          <w:p w14:paraId="6765DE8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Sở Nông nghiệp và PTNT tỉnh Cao Bằng</w:t>
            </w:r>
          </w:p>
        </w:tc>
        <w:tc>
          <w:tcPr>
            <w:tcW w:w="5475" w:type="dxa"/>
          </w:tcPr>
          <w:p w14:paraId="4D63B0B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Đề nghị sửa thành: Sau khi nhận đủ hồ sơ theo quy định tại khoản 1 Điều này từ chủ trì liên kết, </w:t>
            </w:r>
            <w:r>
              <w:rPr>
                <w:rFonts w:hint="default" w:ascii="Times New Roman" w:hAnsi="Times New Roman" w:cs="Times New Roman"/>
                <w:b/>
                <w:bCs/>
                <w:sz w:val="26"/>
                <w:szCs w:val="26"/>
                <w:lang w:val="vi-VN"/>
              </w:rPr>
              <w:t>Sở Nông nghiệp và Môi trường trình Ủy ban nhân dân cấp tỉnh thành lập Hội đồng thẩm định hồ sơ</w:t>
            </w:r>
            <w:r>
              <w:rPr>
                <w:rFonts w:hint="default" w:ascii="Times New Roman" w:hAnsi="Times New Roman" w:cs="Times New Roman"/>
                <w:sz w:val="26"/>
                <w:szCs w:val="26"/>
                <w:lang w:val="vi-VN"/>
              </w:rPr>
              <w:t>. Hội đồng thẩm định gồm lãnh đạo Sở Nông nghiệp và Môi trường là Chủ tịch Hội đồng, các thành</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viên là đại diện Sở Tài chính, các sở ngành liên quan và lãnh đạo Ủy ban nhân</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dân các xã có liên quan.</w:t>
            </w:r>
          </w:p>
          <w:p w14:paraId="4A16687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Lý do: Theo dự thảo Nghị định, nguồn kinh phí hỗ trợ thực hiện nội</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dung liên kết có lồng ghép từ các Chương trình mục tiêu quốc gia, do đó việc</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thành lập Hội đồng thẩm định cần bảo đảm thống nhất với quy định tại điểm a</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khoản 2 Điều 28 Nghị định số 358/NĐ-CP ngày 31/12/2025 của Chính phủ quy</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định cơ chế quản lý, tổ chức thực hiện các chương trình mục tiêu quốc gia</w:t>
            </w:r>
            <w:r>
              <w:rPr>
                <w:rFonts w:hint="default" w:ascii="Times New Roman" w:hAnsi="Times New Roman" w:cs="Times New Roman"/>
                <w:sz w:val="26"/>
                <w:szCs w:val="26"/>
              </w:rPr>
              <w:t xml:space="preserve"> </w:t>
            </w:r>
            <w:r>
              <w:rPr>
                <w:rFonts w:hint="default" w:ascii="Times New Roman" w:hAnsi="Times New Roman" w:cs="Times New Roman"/>
                <w:i/>
                <w:iCs/>
                <w:sz w:val="26"/>
                <w:szCs w:val="26"/>
                <w:lang w:val="vi-VN"/>
              </w:rPr>
              <w:t>“Lãnh đạo Ủy ban nhân dân cấp tỉnh thành lập Hội đồng lựa chọn dự án phát</w:t>
            </w:r>
            <w:r>
              <w:rPr>
                <w:rFonts w:hint="default" w:ascii="Times New Roman" w:hAnsi="Times New Roman" w:cs="Times New Roman"/>
                <w:i/>
                <w:iCs/>
                <w:sz w:val="26"/>
                <w:szCs w:val="26"/>
              </w:rPr>
              <w:t xml:space="preserve"> </w:t>
            </w:r>
            <w:r>
              <w:rPr>
                <w:rFonts w:hint="default" w:ascii="Times New Roman" w:hAnsi="Times New Roman" w:cs="Times New Roman"/>
                <w:i/>
                <w:iCs/>
                <w:sz w:val="26"/>
                <w:szCs w:val="26"/>
                <w:lang w:val="vi-VN"/>
              </w:rPr>
              <w:t xml:space="preserve">triển sản xuất liên kết theo chuỗi giá trị do cấp tỉnh quản lý… </w:t>
            </w:r>
            <w:r>
              <w:rPr>
                <w:rFonts w:hint="default" w:ascii="Times New Roman" w:hAnsi="Times New Roman" w:cs="Times New Roman"/>
                <w:sz w:val="26"/>
                <w:szCs w:val="26"/>
                <w:lang w:val="vi-VN"/>
              </w:rPr>
              <w:t>Việc sửa đổi theo</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hướng Sở Nông nghiệp và Môi trường trình Ủy ban nhân dân cấp tỉnh thành lập</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Hội đồng thẩm định sẽ bảo đảm thống nhất trong tổ chức thực hiện, đúng thẩm</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quyền, đồng bộ với quy định hiện hành và tạo thuận lợi cho các địa phương</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trong quá trình triển khai.</w:t>
            </w:r>
          </w:p>
        </w:tc>
        <w:tc>
          <w:tcPr>
            <w:tcW w:w="4567" w:type="dxa"/>
          </w:tcPr>
          <w:p w14:paraId="58B250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Tiếp thu có chọn lịc đối với </w:t>
            </w:r>
            <w:r>
              <w:rPr>
                <w:rFonts w:hint="default" w:ascii="Times New Roman" w:hAnsi="Times New Roman" w:cs="Times New Roman"/>
                <w:sz w:val="26"/>
                <w:szCs w:val="26"/>
              </w:rPr>
              <w:t xml:space="preserve">đề nghị Sở Nông nghiệp và Môi trường trình UBND cấp tỉnh thành lập Hội đồng thẩm định để thống nhất với cơ chế quản lý Chương trình mục tiêu quốc gia. </w:t>
            </w:r>
            <w:r>
              <w:rPr>
                <w:rFonts w:hint="default" w:ascii="Times New Roman" w:hAnsi="Times New Roman" w:cs="Times New Roman"/>
                <w:sz w:val="26"/>
                <w:szCs w:val="26"/>
                <w:lang w:val="en-US"/>
              </w:rPr>
              <w:t>Hiện d</w:t>
            </w:r>
            <w:r>
              <w:rPr>
                <w:rFonts w:hint="default" w:ascii="Times New Roman" w:hAnsi="Times New Roman" w:cs="Times New Roman"/>
                <w:sz w:val="26"/>
                <w:szCs w:val="26"/>
              </w:rPr>
              <w:t>ự thảo đã chỉnh sửa theo hướng không bắt buộc thành lập Hội đồng thẩm định trong mọi trường hợp, chỉ áp dụng đối với các dự án liên kết có quy mô lớn, liên xã, nhiều nguồn vốn hoặc nội dung chuyên môn phức tạp nhằm giảm thủ tục hành chính. Trường hợp cần thiết, Sở Nông nghiệp và Môi trường trình Ủy ban nhân dân cấp tỉnh thành lập Hội đồng thẩm định liên ngành, bảo đảm đúng thẩm quyền, phù hợp thực tiễn địa phương và đồng bộ với các quy định hiện hành có liên quan.</w:t>
            </w:r>
          </w:p>
        </w:tc>
      </w:tr>
      <w:tr w14:paraId="3C81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D2AFF6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559411B1">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eastAsia="Times New Roman" w:cs="Times New Roman"/>
                <w:sz w:val="26"/>
                <w:szCs w:val="26"/>
                <w:lang w:eastAsia="vi-VN"/>
              </w:rPr>
            </w:pPr>
          </w:p>
        </w:tc>
        <w:tc>
          <w:tcPr>
            <w:tcW w:w="1898" w:type="dxa"/>
          </w:tcPr>
          <w:p w14:paraId="2C778AE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TP Cần Thơ</w:t>
            </w:r>
          </w:p>
        </w:tc>
        <w:tc>
          <w:tcPr>
            <w:tcW w:w="5475" w:type="dxa"/>
          </w:tcPr>
          <w:p w14:paraId="011833A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Tại tiết 3 điểm a khoản 2 Điều 16: Đề nghị điều chỉnh “…lãnh đạo Ủy ban nhân dân các xã có liên quan” thành “…lãnh đạo Ủy ban nhân dân cấp xã có liên quan”.</w:t>
            </w:r>
          </w:p>
        </w:tc>
        <w:tc>
          <w:tcPr>
            <w:tcW w:w="4567" w:type="dxa"/>
          </w:tcPr>
          <w:p w14:paraId="1881896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đã chỉnh sửa thành “đại diện Ủy ban nhân dân cấp xã nơi thực hiện dự án liên kết” để bảo đảm thống nhất thuật ngữ pháp lý theo quy định của pháp luật về tổ chức chính quyền địa phương.</w:t>
            </w:r>
          </w:p>
        </w:tc>
      </w:tr>
      <w:tr w14:paraId="7420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216864A7">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3DB0B70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b) Trường hợp thuộc thẩm quyền của Ủy ban nhân dân cấp xã:</w:t>
            </w:r>
          </w:p>
          <w:p w14:paraId="3F6A7F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Chủ trì liên kết nộp hồ sơ đến cơ quan chuyên môn giúp việc Ủy ban nhân dân cấp xã: Phòng Kinh tế (đối với xã, đặc khu) hoặc phòng kinh tế, hạ tầng và đô thị (đối với phường và đặc khu Phú Quốc);</w:t>
            </w:r>
          </w:p>
          <w:p w14:paraId="73AA4A4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Trình tự kiểm tra hồ sơ, thẩm định và trình phê duyệt thực hiện tương tự quy định tại Điểm a Khoản 2 Điều này;</w:t>
            </w:r>
          </w:p>
          <w:p w14:paraId="3CEA1A0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Chủ tịch Ủy ban nhân dân cấp xã quyết định phê duyệt hỗ trợ theo thẩm quyền.</w:t>
            </w:r>
          </w:p>
        </w:tc>
        <w:tc>
          <w:tcPr>
            <w:tcW w:w="1898" w:type="dxa"/>
          </w:tcPr>
          <w:p w14:paraId="7BF67E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Sở Nông nghiệp và PTNT tỉnh Cao Bằng; TP Cần </w:t>
            </w:r>
            <w:r>
              <w:rPr>
                <w:rFonts w:hint="default" w:ascii="Times New Roman" w:hAnsi="Times New Roman" w:cs="Times New Roman"/>
                <w:sz w:val="26"/>
                <w:szCs w:val="26"/>
                <w:lang w:val="vi-VN"/>
              </w:rPr>
              <w:t xml:space="preserve">Thơ, </w:t>
            </w:r>
            <w:r>
              <w:rPr>
                <w:rFonts w:hint="default" w:ascii="Times New Roman" w:hAnsi="Times New Roman" w:cs="Times New Roman"/>
                <w:sz w:val="26"/>
                <w:szCs w:val="26"/>
              </w:rPr>
              <w:t>Cục Quản lý và Xây dựng công trình thủy lợi</w:t>
            </w:r>
          </w:p>
        </w:tc>
        <w:tc>
          <w:tcPr>
            <w:tcW w:w="5475" w:type="dxa"/>
          </w:tcPr>
          <w:p w14:paraId="682A4AE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Đề nghị xem xét quy định cụ thể, rõ ràng về thẩm quyền thành lập Hội</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đồng thẩm định cấp xã, thành phần Hội đồng, trình tự thẩm định và thẩm quyền</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phê duyệt kế hoạch liên kết cấp xã.</w:t>
            </w:r>
          </w:p>
          <w:p w14:paraId="43FB4AA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Xem xét bổ sung trách nhiệm của UBND cấp xã về việc phê duyệt kế hoạch liên kết và nội dung hỗ trợ liên kết, kiểm tra việc tổ chức thực hiện kế hoạch sau khi được phê duyệt</w:t>
            </w:r>
          </w:p>
          <w:p w14:paraId="3A61BD8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Lý do: Dự thảo quy định</w:t>
            </w:r>
            <w:r>
              <w:rPr>
                <w:rFonts w:hint="default" w:ascii="Times New Roman" w:hAnsi="Times New Roman" w:cs="Times New Roman"/>
                <w:i/>
                <w:iCs/>
                <w:sz w:val="26"/>
                <w:szCs w:val="26"/>
                <w:lang w:val="vi-VN"/>
              </w:rPr>
              <w:t>“thực hiện tương tự quy định tại Điểm a Khoản</w:t>
            </w:r>
            <w:r>
              <w:rPr>
                <w:rFonts w:hint="default" w:ascii="Times New Roman" w:hAnsi="Times New Roman" w:cs="Times New Roman"/>
                <w:i/>
                <w:iCs/>
                <w:sz w:val="26"/>
                <w:szCs w:val="26"/>
              </w:rPr>
              <w:t xml:space="preserve"> </w:t>
            </w:r>
            <w:r>
              <w:rPr>
                <w:rFonts w:hint="default" w:ascii="Times New Roman" w:hAnsi="Times New Roman" w:cs="Times New Roman"/>
                <w:i/>
                <w:iCs/>
                <w:sz w:val="26"/>
                <w:szCs w:val="26"/>
                <w:lang w:val="vi-VN"/>
              </w:rPr>
              <w:t xml:space="preserve">2 Điều này” </w:t>
            </w:r>
            <w:r>
              <w:rPr>
                <w:rFonts w:hint="default" w:ascii="Times New Roman" w:hAnsi="Times New Roman" w:cs="Times New Roman"/>
                <w:sz w:val="26"/>
                <w:szCs w:val="26"/>
                <w:lang w:val="vi-VN"/>
              </w:rPr>
              <w:t>còn mang tính khái quát, dễ dẫn đến nhiều cách hiểu và cách áp</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dụng khác nhau trong quá trình tổ chức thực hiện. Trong đó, có thể phát sinh</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cách hiểu rằng hồ sơ kế hoạch liên kết cấp xã phải trình Sở Nông nghiệp và Môi</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trường thẩm định, không phù hợp với phân cấp quản lý. Việc quy định cụ thể sẽ</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bảo đảm thống nhất trong triển khai thực hiện, tránh lúng túng cho địa phương</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và nâng cao tính khả thi của văn bản.</w:t>
            </w:r>
          </w:p>
        </w:tc>
        <w:tc>
          <w:tcPr>
            <w:tcW w:w="4567" w:type="dxa"/>
          </w:tcPr>
          <w:p w14:paraId="52B13A9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đã quy định cụ thể hơn đối với cấp xã, theo đó: Ủy ban nhân dân cấp xã tổ chức thẩm định hoặc thành lập Tổ thẩm định; Chủ tịch UBND cấp xã quyết định thành lập Tổ thẩm định hoặc lấy ý kiến Sở Nông nghiệp và Môi trường trước khi phê duyệt, đồng thời quy định rõ trách nhiệm phê duyệt, tổ chức thực hiện và kiểm tra dự án liên kết sau phê duyệt nhằm tránh cách hiểu và áp dụng khác nhau giữa các địa phương.</w:t>
            </w:r>
          </w:p>
        </w:tc>
      </w:tr>
      <w:tr w14:paraId="1A3C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0039C4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59074D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01DE41E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Sở Nông nghiệp và Môi trường tỉnh Vĩnh Long; </w:t>
            </w:r>
            <w:r>
              <w:rPr>
                <w:rFonts w:hint="default" w:ascii="Times New Roman" w:hAnsi="Times New Roman" w:cs="Times New Roman"/>
                <w:sz w:val="26"/>
                <w:szCs w:val="26"/>
              </w:rPr>
              <w:t xml:space="preserve">Viện Chiến lược, Chính sách nông nghiệp và môi </w:t>
            </w:r>
            <w:r>
              <w:rPr>
                <w:rFonts w:hint="default" w:ascii="Times New Roman" w:hAnsi="Times New Roman" w:cs="Times New Roman"/>
                <w:sz w:val="26"/>
                <w:szCs w:val="26"/>
                <w:lang w:val="vi-VN"/>
              </w:rPr>
              <w:t>trường; Bộ Công thương, Văn phòng bộ</w:t>
            </w:r>
          </w:p>
        </w:tc>
        <w:tc>
          <w:tcPr>
            <w:tcW w:w="5475" w:type="dxa"/>
          </w:tcPr>
          <w:p w14:paraId="7F8C00D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Tại Điều 16 của Dự thảo Nghị định có phân quyền phê duyệt Kế hoạch liên kết, </w:t>
            </w:r>
          </w:p>
          <w:p w14:paraId="5F2BE5B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Dự thảo hiện đang quy định 2 trường hợp phê duyệt gồm (1) Trường hợp thuộc thẩm quyền của Ủy ban nhân dân cấp tỉnh; (2) Trường hợp thuộc thẩm quyền của Ủy ban nhân dân cấp xã. Tuy nhiên chưa phân định mức nào thuộc thẩm quyền cấp tỉnh và và mức nào thuộc cấp xã trong phê duyệt Kế hoạch này</w:t>
            </w:r>
            <w:r>
              <w:rPr>
                <w:rFonts w:hint="default" w:ascii="Times New Roman" w:hAnsi="Times New Roman" w:cs="Times New Roman"/>
                <w:sz w:val="26"/>
                <w:szCs w:val="26"/>
                <w:lang w:val="vi-VN"/>
              </w:rPr>
              <w:t xml:space="preserve"> và chưa </w:t>
            </w:r>
            <w:r>
              <w:rPr>
                <w:rFonts w:hint="default" w:ascii="Times New Roman" w:hAnsi="Times New Roman" w:cs="Times New Roman"/>
                <w:sz w:val="26"/>
                <w:szCs w:val="26"/>
              </w:rPr>
              <w:t xml:space="preserve">quy định rõ nội dung cụ thể của từng trường hợp (ví dụ dự án quy mô trong một xã hoặc liên xã, mức phê duyệt kinh phí hỗ trợ,...), dẫn đến khó khăn, lúng túng cho cơ quan nhà nước cũng như tổ chức, cá nhân trong quá trình nộp hồ sơ. Vì vậy đề nghị nghiên cứu quy định rõ thẩm quyền tiếp nhận cụ thể đối với từng trường hợp thuộc cấp tỉnh và cấp xã để thực hiện thống nhất trong cả </w:t>
            </w:r>
            <w:r>
              <w:rPr>
                <w:rFonts w:hint="default" w:ascii="Times New Roman" w:hAnsi="Times New Roman" w:cs="Times New Roman"/>
                <w:sz w:val="26"/>
                <w:szCs w:val="26"/>
                <w:lang w:val="vi-VN"/>
              </w:rPr>
              <w:t>nước.</w:t>
            </w:r>
          </w:p>
          <w:p w14:paraId="46931BC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Bổ sung tiêu chí phân cấp rõ ràng theo các yếu tố như quy mô diện tích vùng nguyên liệu, phạm vi thực hiện (trong phạm vi một xã hoặc liên xã), định mức hỗ trợ từ ngân sách nhà nước.</w:t>
            </w:r>
          </w:p>
        </w:tc>
        <w:tc>
          <w:tcPr>
            <w:tcW w:w="4567" w:type="dxa"/>
          </w:tcPr>
          <w:p w14:paraId="149E5BF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Tiếp thu. Đã tách thành 02 Khoản 4. </w:t>
            </w:r>
            <w:r>
              <w:rPr>
                <w:rFonts w:hint="default" w:ascii="Times New Roman" w:hAnsi="Times New Roman" w:eastAsia="Times New Roman" w:cs="Times New Roman"/>
                <w:b w:val="0"/>
                <w:bCs w:val="0"/>
                <w:color w:val="auto"/>
                <w:sz w:val="28"/>
                <w:szCs w:val="28"/>
                <w:lang w:val="en-US" w:eastAsia="vi-VN"/>
              </w:rPr>
              <w:t xml:space="preserve">4. Trình tự, thủ tục phê duyệt dự án liên kết thuộc thẩm quyền của Ủy ban nhân dân cấp tỉnh; và Khoản 5. Trình tự, thủ tục phê duyệt dự án liên kết thuộc thẩm quyền của Ủy ban nhân dân cấp xã. </w:t>
            </w:r>
          </w:p>
        </w:tc>
      </w:tr>
      <w:tr w14:paraId="0DD1A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66EA1E5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3E99C4D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3. Nội dung phê duyệt liên kết:</w:t>
            </w:r>
            <w:r>
              <w:rPr>
                <w:rFonts w:hint="default" w:ascii="Times New Roman" w:hAnsi="Times New Roman" w:eastAsia="Times New Roman" w:cs="Times New Roman"/>
                <w:sz w:val="26"/>
                <w:szCs w:val="26"/>
                <w:lang w:val="vi-VN" w:eastAsia="vi-VN"/>
              </w:rPr>
              <w:t xml:space="preserve"> </w:t>
            </w:r>
            <w:r>
              <w:rPr>
                <w:rFonts w:hint="default" w:ascii="Times New Roman" w:hAnsi="Times New Roman" w:eastAsia="Times New Roman" w:cs="Times New Roman"/>
                <w:sz w:val="26"/>
                <w:szCs w:val="26"/>
                <w:lang w:eastAsia="vi-VN"/>
              </w:rPr>
              <w:t>Quyết định phê duyệt liên kết bao gồm các nội dung chủ yếu sau:</w:t>
            </w:r>
          </w:p>
        </w:tc>
        <w:tc>
          <w:tcPr>
            <w:tcW w:w="1898" w:type="dxa"/>
          </w:tcPr>
          <w:p w14:paraId="2C216DE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Sở Nông nghiệp và Môi trường tỉnh Hà Tĩnh</w:t>
            </w:r>
          </w:p>
        </w:tc>
        <w:tc>
          <w:tcPr>
            <w:tcW w:w="5475" w:type="dxa"/>
          </w:tcPr>
          <w:p w14:paraId="198141A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Khoản 3: Đề nghị sửa </w:t>
            </w:r>
            <w:r>
              <w:rPr>
                <w:rFonts w:hint="default" w:ascii="Times New Roman" w:hAnsi="Times New Roman" w:cs="Times New Roman"/>
                <w:i/>
                <w:iCs/>
                <w:sz w:val="26"/>
                <w:szCs w:val="26"/>
                <w:lang w:val="vi-VN"/>
              </w:rPr>
              <w:t xml:space="preserve">“Quyết định phê duyệt liên kết” </w:t>
            </w:r>
            <w:r>
              <w:rPr>
                <w:rFonts w:hint="default" w:ascii="Times New Roman" w:hAnsi="Times New Roman" w:cs="Times New Roman"/>
                <w:sz w:val="26"/>
                <w:szCs w:val="26"/>
                <w:lang w:val="vi-VN"/>
              </w:rPr>
              <w:t xml:space="preserve">thành </w:t>
            </w:r>
            <w:r>
              <w:rPr>
                <w:rFonts w:hint="default" w:ascii="Times New Roman" w:hAnsi="Times New Roman" w:cs="Times New Roman"/>
                <w:i/>
                <w:iCs/>
                <w:sz w:val="26"/>
                <w:szCs w:val="26"/>
                <w:lang w:val="vi-VN"/>
              </w:rPr>
              <w:t xml:space="preserve">“Quyết định phê duyệt </w:t>
            </w:r>
            <w:r>
              <w:rPr>
                <w:rFonts w:hint="default" w:ascii="Times New Roman" w:hAnsi="Times New Roman" w:cs="Times New Roman"/>
                <w:b/>
                <w:bCs/>
                <w:i/>
                <w:iCs/>
                <w:sz w:val="26"/>
                <w:szCs w:val="26"/>
                <w:lang w:val="vi-VN"/>
              </w:rPr>
              <w:t xml:space="preserve">kế hoạch </w:t>
            </w:r>
            <w:r>
              <w:rPr>
                <w:rFonts w:hint="default" w:ascii="Times New Roman" w:hAnsi="Times New Roman" w:cs="Times New Roman"/>
                <w:i/>
                <w:iCs/>
                <w:sz w:val="26"/>
                <w:szCs w:val="26"/>
                <w:lang w:val="vi-VN"/>
              </w:rPr>
              <w:t xml:space="preserve">liên kết” </w:t>
            </w:r>
            <w:r>
              <w:rPr>
                <w:rFonts w:hint="default" w:ascii="Times New Roman" w:hAnsi="Times New Roman" w:cs="Times New Roman"/>
                <w:sz w:val="26"/>
                <w:szCs w:val="26"/>
                <w:lang w:val="vi-VN"/>
              </w:rPr>
              <w:t xml:space="preserve">(tương tự trích yếu Quyết định tại Mẫu số 05) </w:t>
            </w:r>
          </w:p>
        </w:tc>
        <w:tc>
          <w:tcPr>
            <w:tcW w:w="4567" w:type="dxa"/>
          </w:tcPr>
          <w:p w14:paraId="0EC0999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Dự thảo đã thống nhất chuyển từ cách tiếp cận “kế hoạch liên kết” sang “dự án liên kết”. Do đó, thuật ngữ được chỉnh sửa thống nhất là “Quyết định phê duyệt dự án liên kết và nội dung hỗ trợ” thay cho “quyết định phê duyệt liên kết”.</w:t>
            </w:r>
          </w:p>
        </w:tc>
      </w:tr>
      <w:tr w14:paraId="1A7A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2C897D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7475D96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6821935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Cục Thủy sản và kiểm ngư</w:t>
            </w:r>
          </w:p>
        </w:tc>
        <w:tc>
          <w:tcPr>
            <w:tcW w:w="5475" w:type="dxa"/>
          </w:tcPr>
          <w:p w14:paraId="6B1E4B7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Đề nghị bổ sung “Danh sách các kế hoạch liên kết được phê duyệt, nội dung và mức hỗ trợ phải được công khai trên cổng thông tin điện tử của cơ quan phê duyệt.” </w:t>
            </w:r>
          </w:p>
        </w:tc>
        <w:tc>
          <w:tcPr>
            <w:tcW w:w="4567" w:type="dxa"/>
          </w:tcPr>
          <w:p w14:paraId="0443074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Tiếp thu. Dự thảo đã bổ sung nguyên tắc tại điểm e khoản 7 Điều 16 theo hướng: danh mục dự án liên kết được phê duyệt, nội dung và mức hỗ trợ được công khai theo quy định của pháp luật</w:t>
            </w:r>
            <w:r>
              <w:rPr>
                <w:rFonts w:hint="default" w:ascii="Times New Roman" w:hAnsi="Times New Roman" w:cs="Times New Roman"/>
                <w:sz w:val="26"/>
                <w:szCs w:val="26"/>
                <w:lang w:val="en-US"/>
              </w:rPr>
              <w:t>.</w:t>
            </w:r>
          </w:p>
        </w:tc>
      </w:tr>
      <w:tr w14:paraId="46FC3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8AD18E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23A1A1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p>
        </w:tc>
        <w:tc>
          <w:tcPr>
            <w:tcW w:w="1898" w:type="dxa"/>
          </w:tcPr>
          <w:p w14:paraId="0AAF13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Văn phòng Bộ</w:t>
            </w:r>
          </w:p>
        </w:tc>
        <w:tc>
          <w:tcPr>
            <w:tcW w:w="5475" w:type="dxa"/>
          </w:tcPr>
          <w:p w14:paraId="798B1AC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"Nội dung này đã được mẫu hóa tại “Mẫu số 05 tại Phu lục ban hành kèm theo Nghị định", vì vây đề nghị biên tập lại nội dung điều khoản đảm bảo ngắn gọn, khoa học, không cần thiết trình bày lại nội dung đã được mẫu hóa.</w:t>
            </w:r>
          </w:p>
        </w:tc>
        <w:tc>
          <w:tcPr>
            <w:tcW w:w="4567" w:type="dxa"/>
          </w:tcPr>
          <w:p w14:paraId="688EBD2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Dự thảo vẫn quy định các nhóm nội dung chủ yếu của quyết định phê duyệt tại khoản 6 Điều 16 nhằm bảo đảm rõ căn cứ pháp lý, minh bạch nội dung quản lý nhà nước và thuận lợi trong kiểm tra, giám sát; đồng thời đã biên tập theo hướng ngắn gọn, tránh lặp lại chi tiết đã được chuẩn hóa tại Mẫu số 05.</w:t>
            </w:r>
          </w:p>
        </w:tc>
      </w:tr>
      <w:tr w14:paraId="029E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890B42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091B1F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đ) Nội dung và mức hỗ trợ: các hạng mục được hỗ trợ, mức hỗ trợ, nguồn vốn, tiến độ và thời gian thực hiện;</w:t>
            </w:r>
          </w:p>
        </w:tc>
        <w:tc>
          <w:tcPr>
            <w:tcW w:w="1898" w:type="dxa"/>
          </w:tcPr>
          <w:p w14:paraId="00647A5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Sở Nông nghiệp và Môi trường tỉnh Hà Tĩnh; Nghệ An </w:t>
            </w:r>
          </w:p>
        </w:tc>
        <w:tc>
          <w:tcPr>
            <w:tcW w:w="5475" w:type="dxa"/>
          </w:tcPr>
          <w:p w14:paraId="29B624E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Điểm đ khoản 3: Đề nghị sửa</w:t>
            </w:r>
            <w:r>
              <w:rPr>
                <w:rFonts w:hint="default" w:ascii="Times New Roman" w:hAnsi="Times New Roman" w:cs="Times New Roman"/>
                <w:sz w:val="26"/>
                <w:szCs w:val="26"/>
              </w:rPr>
              <w:t xml:space="preserve"> và bổ sung</w:t>
            </w:r>
            <w:r>
              <w:rPr>
                <w:rFonts w:hint="default" w:ascii="Times New Roman" w:hAnsi="Times New Roman" w:cs="Times New Roman"/>
                <w:sz w:val="26"/>
                <w:szCs w:val="26"/>
                <w:lang w:val="vi-VN"/>
              </w:rPr>
              <w:t xml:space="preserve"> “Nội dung và mức hỗ trợ: các hạng mục được hỗ trợ, mức hỗ trợ, ;</w:t>
            </w:r>
            <w:r>
              <w:rPr>
                <w:rFonts w:hint="default" w:ascii="Times New Roman" w:hAnsi="Times New Roman" w:cs="Times New Roman"/>
                <w:sz w:val="26"/>
                <w:szCs w:val="26"/>
              </w:rPr>
              <w:t>; hình thức hỗ trợ</w:t>
            </w: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hình thức hỗ trợ; </w:t>
            </w:r>
            <w:r>
              <w:rPr>
                <w:rFonts w:hint="default" w:ascii="Times New Roman" w:hAnsi="Times New Roman" w:cs="Times New Roman"/>
                <w:sz w:val="26"/>
                <w:szCs w:val="26"/>
                <w:lang w:val="vi-VN"/>
              </w:rPr>
              <w:t xml:space="preserve"> thành “Nội dung và mức hỗ trợ</w:t>
            </w:r>
            <w:r>
              <w:rPr>
                <w:rFonts w:hint="default" w:ascii="Times New Roman" w:hAnsi="Times New Roman" w:cs="Times New Roman"/>
                <w:sz w:val="26"/>
                <w:szCs w:val="26"/>
              </w:rPr>
              <w:t xml:space="preserve"> và hình thức hỗ trợ </w:t>
            </w:r>
            <w:r>
              <w:rPr>
                <w:rFonts w:hint="default" w:ascii="Times New Roman" w:hAnsi="Times New Roman" w:cs="Times New Roman"/>
                <w:sz w:val="26"/>
                <w:szCs w:val="26"/>
                <w:lang w:val="vi-VN"/>
              </w:rPr>
              <w:t xml:space="preserve">: các hạng mục </w:t>
            </w:r>
            <w:r>
              <w:rPr>
                <w:rFonts w:hint="default" w:ascii="Times New Roman" w:hAnsi="Times New Roman" w:cs="Times New Roman"/>
                <w:b/>
                <w:bCs/>
                <w:sz w:val="26"/>
                <w:szCs w:val="26"/>
                <w:lang w:val="vi-VN"/>
              </w:rPr>
              <w:t xml:space="preserve">đề xuất </w:t>
            </w:r>
            <w:r>
              <w:rPr>
                <w:rFonts w:hint="default" w:ascii="Times New Roman" w:hAnsi="Times New Roman" w:cs="Times New Roman"/>
                <w:sz w:val="26"/>
                <w:szCs w:val="26"/>
                <w:lang w:val="vi-VN"/>
              </w:rPr>
              <w:t>hỗ trợ, mức hỗ trợ</w:t>
            </w:r>
            <w:r>
              <w:rPr>
                <w:rFonts w:hint="default" w:ascii="Times New Roman" w:hAnsi="Times New Roman" w:cs="Times New Roman"/>
                <w:sz w:val="26"/>
                <w:szCs w:val="26"/>
              </w:rPr>
              <w:t>, hình thức hỗ trợ</w:t>
            </w:r>
            <w:r>
              <w:rPr>
                <w:rFonts w:hint="default" w:ascii="Times New Roman" w:hAnsi="Times New Roman" w:cs="Times New Roman"/>
                <w:sz w:val="26"/>
                <w:szCs w:val="26"/>
                <w:lang w:val="vi-VN"/>
              </w:rPr>
              <w:t>…;”</w:t>
            </w:r>
          </w:p>
        </w:tc>
        <w:tc>
          <w:tcPr>
            <w:tcW w:w="4567" w:type="dxa"/>
          </w:tcPr>
          <w:p w14:paraId="4BB1E4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đã chỉnh sửa theo hướng: “Nội dung, mức hỗ trợ và hình thức hỗ trợ: các hạng mục đề xuất hỗ trợ, mức hỗ trợ, hình thức hỗ trợ, nguồn vốn, tiến độ và thời gian thực hiện…”, bảo đảm rõ phương thức hỗ trợ và thuận lợi trong tổ chức thực hiện.</w:t>
            </w:r>
          </w:p>
        </w:tc>
      </w:tr>
      <w:tr w14:paraId="5B54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2016A93">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4BF5ABB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val="vi-VN" w:eastAsia="vi-VN"/>
              </w:rPr>
              <w:t xml:space="preserve">e). </w:t>
            </w:r>
            <w:r>
              <w:rPr>
                <w:rFonts w:hint="default" w:ascii="Times New Roman" w:hAnsi="Times New Roman" w:eastAsia="Times New Roman" w:cs="Times New Roman"/>
                <w:sz w:val="26"/>
                <w:szCs w:val="26"/>
                <w:lang w:eastAsia="vi-VN"/>
              </w:rPr>
              <w:t>Trách nhiệm của các bên và cơ quan quản lý nhà nước trong tổ chức thực hiện, quản lý và sử dụng nguồn hỗ trợ;</w:t>
            </w:r>
          </w:p>
        </w:tc>
        <w:tc>
          <w:tcPr>
            <w:tcW w:w="1898" w:type="dxa"/>
          </w:tcPr>
          <w:p w14:paraId="2AC8B0F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Cục Quản lý và Xây dựng công trình thủy </w:t>
            </w:r>
            <w:r>
              <w:rPr>
                <w:rFonts w:hint="default" w:ascii="Times New Roman" w:hAnsi="Times New Roman" w:cs="Times New Roman"/>
                <w:sz w:val="26"/>
                <w:szCs w:val="26"/>
                <w:lang w:val="vi-VN"/>
              </w:rPr>
              <w:t>lợi</w:t>
            </w:r>
          </w:p>
        </w:tc>
        <w:tc>
          <w:tcPr>
            <w:tcW w:w="5475" w:type="dxa"/>
          </w:tcPr>
          <w:p w14:paraId="7039E3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bổ sung vào điểm e:  ‘Trách nhiệm của các bên và cơ quan quản lý nhà nước trong tổ chức thực hiện giao quản lý, sử dụng và khai thác kết cấu hạ tầng, trang thiết bị là kết quả của các dự án có hỗ trợ đầu tư từ vốn nhà nước theo quy định về quản lý tài sản công và pháp luật chuyên ngành có liên quan.”.</w:t>
            </w:r>
          </w:p>
        </w:tc>
        <w:tc>
          <w:tcPr>
            <w:tcW w:w="4567" w:type="dxa"/>
          </w:tcPr>
          <w:p w14:paraId="77E3056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đã bổ sung nội dung tại điểm e khoản 6 theo hướng quy định trách nhiệm của các bên và cơ quan quản lý nhà nước trong quản lý, sử dụng, khai thác kết cấu hạ tầng, trang thiết bị được hỗ trợ từ vốn nhà nước theo quy định của pháp luật về quản lý tài sản công và pháp luật chuyên ngành có liên quan, bảo đảm tránh thất thoát, lãng phí tài sản công.</w:t>
            </w:r>
          </w:p>
        </w:tc>
      </w:tr>
      <w:tr w14:paraId="1611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0D06E1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7454A8E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val="vi-VN" w:eastAsia="vi-VN"/>
              </w:rPr>
            </w:pPr>
            <w:r>
              <w:rPr>
                <w:rFonts w:hint="default" w:ascii="Times New Roman" w:hAnsi="Times New Roman" w:eastAsia="Times New Roman" w:cs="Times New Roman"/>
                <w:sz w:val="26"/>
                <w:szCs w:val="26"/>
                <w:lang w:val="vi-VN" w:eastAsia="vi-VN"/>
              </w:rPr>
              <w:t xml:space="preserve">f) </w:t>
            </w:r>
            <w:r>
              <w:rPr>
                <w:rFonts w:hint="default" w:ascii="Times New Roman" w:hAnsi="Times New Roman" w:eastAsia="Times New Roman" w:cs="Times New Roman"/>
                <w:sz w:val="26"/>
                <w:szCs w:val="26"/>
                <w:lang w:eastAsia="vi-VN"/>
              </w:rPr>
              <w:t>Cơ chế quản lý, giám sát và xử lý: kiểm tra, đánh giá, điều chỉnh (nếu có), chế độ báo cáo, nghiệm thu và xử lý vi phạm.</w:t>
            </w:r>
            <w:r>
              <w:rPr>
                <w:rFonts w:hint="default" w:ascii="Times New Roman" w:hAnsi="Times New Roman" w:eastAsia="Times New Roman" w:cs="Times New Roman"/>
                <w:sz w:val="26"/>
                <w:szCs w:val="26"/>
                <w:lang w:val="vi-VN" w:eastAsia="vi-VN"/>
              </w:rPr>
              <w:t xml:space="preserve"> </w:t>
            </w:r>
            <w:r>
              <w:rPr>
                <w:rFonts w:hint="default" w:ascii="Times New Roman" w:hAnsi="Times New Roman" w:eastAsia="Times New Roman" w:cs="Times New Roman"/>
                <w:i/>
                <w:iCs/>
                <w:sz w:val="26"/>
                <w:szCs w:val="26"/>
                <w:lang w:eastAsia="vi-VN"/>
              </w:rPr>
              <w:t>(theo Mẫu số 05 tại Phụ lục ban hành kèm theo Nghị định này).</w:t>
            </w:r>
          </w:p>
        </w:tc>
        <w:tc>
          <w:tcPr>
            <w:tcW w:w="1898" w:type="dxa"/>
          </w:tcPr>
          <w:p w14:paraId="6EE0AA9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3BFE3D4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4567" w:type="dxa"/>
          </w:tcPr>
          <w:p w14:paraId="23808F9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r>
      <w:tr w14:paraId="6D9D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2F8164F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231B704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4. Nguyên tắc thực hiện phê duyệt liên kết:</w:t>
            </w:r>
          </w:p>
          <w:p w14:paraId="2DBF1DBE">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eastAsia="Times New Roman" w:cs="Times New Roman"/>
                <w:sz w:val="26"/>
                <w:szCs w:val="26"/>
                <w:lang w:eastAsia="vi-VN"/>
              </w:rPr>
            </w:pPr>
          </w:p>
        </w:tc>
        <w:tc>
          <w:tcPr>
            <w:tcW w:w="1898" w:type="dxa"/>
          </w:tcPr>
          <w:p w14:paraId="17E4BA7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Hà Tĩnh</w:t>
            </w:r>
          </w:p>
        </w:tc>
        <w:tc>
          <w:tcPr>
            <w:tcW w:w="5475" w:type="dxa"/>
          </w:tcPr>
          <w:p w14:paraId="47A50D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Đề nghị xem xét nội dung này còn chung chung, do đó đề nghị quy định cụ thể hơn tiêu chí thẩm định để quá trình thực hiện đảm bảo tính công bằng, minh bạch và việc hỗ trợ ngân sách đảm bảo hiệu quả. </w:t>
            </w:r>
          </w:p>
          <w:p w14:paraId="21FA641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 Tại Mẫu số 01 Đơn đề nghị phê duyệt kế hoạch liên kết: </w:t>
            </w:r>
          </w:p>
          <w:p w14:paraId="1DDE61E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 Đề nghị gộp chung mục II và mục III;  </w:t>
            </w:r>
          </w:p>
          <w:p w14:paraId="3CD178A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Tại mục IV: Mỗi nội dung chính sách cần nêu rõ: Đối tượng nhận hỗ trợ; tổng vốn đầu tư; ngân sách nhà nước hỗ trợ; nguồn vốn đối ứng; cơ sở pháp lý đề xuất mức hỗ trợ.</w:t>
            </w:r>
          </w:p>
        </w:tc>
        <w:tc>
          <w:tcPr>
            <w:tcW w:w="4567" w:type="dxa"/>
          </w:tcPr>
          <w:p w14:paraId="4B0DDB2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đã bổ sung và làm rõ nội dung thẩm định tại điểm d khoản 4 Điều 16, gồm: điều kiện hỗ trợ; tính phù hợp với định hướng ngành hàng, vùng nguyên liệu; tính thực chất, khả thi của liên kết; năng lực tổ chức thực hiện; mức độ cam kết tiêu thụ; khả năng truy xuất nguồn gốc, kiểm soát chất lượng; nội dung hỗ trợ, khả năng cân đối ngân sách và hiệu quả kinh tế, xã hội, môi trường, bảo đảm minh bạch, công bằng trong lựa chọn dự án hỗ trợ.</w:t>
            </w:r>
          </w:p>
          <w:p w14:paraId="01462C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góp ý Mẫu số 01 (gộp mục II, III; bổ sung nội dung về đối tượng nhận hỗ trợ, tổng vốn đầu tư, vốn đối ứng, căn cứ pháp lý mức hỗ trợ).</w:t>
            </w:r>
          </w:p>
        </w:tc>
      </w:tr>
      <w:tr w14:paraId="7EF0D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988584B">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EB007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a) Việc phê duyệt theo Điều này là phê duyệt kế hoạch liên kết đồng thời với nội dung hỗ trợ từ ngân sách nhà nước; không thay thế các thủ tục về đầu tư, xây dựng và các thủ tục khác theo quy định của pháp luật có liên quan;</w:t>
            </w:r>
          </w:p>
        </w:tc>
        <w:tc>
          <w:tcPr>
            <w:tcW w:w="1898" w:type="dxa"/>
          </w:tcPr>
          <w:p w14:paraId="6228BD3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Sở Nông nghiệp và Môi trường tỉnh Hà Tĩnh</w:t>
            </w:r>
          </w:p>
        </w:tc>
        <w:tc>
          <w:tcPr>
            <w:tcW w:w="5475" w:type="dxa"/>
          </w:tcPr>
          <w:p w14:paraId="4FEF83C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pacing w:val="3"/>
                <w:sz w:val="26"/>
                <w:szCs w:val="26"/>
                <w:shd w:val="clear" w:color="auto" w:fill="E5F1FF"/>
              </w:rPr>
            </w:pPr>
            <w:r>
              <w:rPr>
                <w:rFonts w:hint="default" w:ascii="Times New Roman" w:hAnsi="Times New Roman" w:cs="Times New Roman"/>
                <w:sz w:val="26"/>
                <w:szCs w:val="26"/>
                <w:lang w:val="vi-VN"/>
              </w:rPr>
              <w:t xml:space="preserve">Đề nghị sửa </w:t>
            </w:r>
            <w:r>
              <w:rPr>
                <w:rFonts w:hint="default" w:ascii="Times New Roman" w:hAnsi="Times New Roman" w:cs="Times New Roman"/>
                <w:iCs/>
                <w:sz w:val="26"/>
                <w:szCs w:val="26"/>
                <w:lang w:val="vi-VN"/>
              </w:rPr>
              <w:t xml:space="preserve">“Việc phê duyệt theo Điều này là phê duyệt kế hoạch liên kết đồng thời với nội dung hỗ trợ từ ngân sách nhà nước;…” </w:t>
            </w:r>
            <w:r>
              <w:rPr>
                <w:rFonts w:hint="default" w:ascii="Times New Roman" w:hAnsi="Times New Roman" w:cs="Times New Roman"/>
                <w:sz w:val="26"/>
                <w:szCs w:val="26"/>
                <w:lang w:val="vi-VN"/>
              </w:rPr>
              <w:t xml:space="preserve">thành </w:t>
            </w:r>
            <w:r>
              <w:rPr>
                <w:rFonts w:hint="default" w:ascii="Times New Roman" w:hAnsi="Times New Roman" w:cs="Times New Roman"/>
                <w:iCs/>
                <w:sz w:val="26"/>
                <w:szCs w:val="26"/>
                <w:lang w:val="vi-VN"/>
              </w:rPr>
              <w:t xml:space="preserve">“Việc phê duyệt </w:t>
            </w:r>
            <w:r>
              <w:rPr>
                <w:rFonts w:hint="default" w:ascii="Times New Roman" w:hAnsi="Times New Roman" w:cs="Times New Roman"/>
                <w:b/>
                <w:bCs/>
                <w:iCs/>
                <w:sz w:val="26"/>
                <w:szCs w:val="26"/>
                <w:lang w:val="vi-VN"/>
              </w:rPr>
              <w:t xml:space="preserve">kế hoạch liên kết </w:t>
            </w:r>
            <w:r>
              <w:rPr>
                <w:rFonts w:hint="default" w:ascii="Times New Roman" w:hAnsi="Times New Roman" w:cs="Times New Roman"/>
                <w:iCs/>
                <w:sz w:val="26"/>
                <w:szCs w:val="26"/>
                <w:lang w:val="vi-VN"/>
              </w:rPr>
              <w:t xml:space="preserve">theo Điều này là phê duyệt kế hoạch liên kết đồng thời với nội dung </w:t>
            </w:r>
            <w:r>
              <w:rPr>
                <w:rFonts w:hint="default" w:ascii="Times New Roman" w:hAnsi="Times New Roman" w:cs="Times New Roman"/>
                <w:b/>
                <w:bCs/>
                <w:iCs/>
                <w:sz w:val="26"/>
                <w:szCs w:val="26"/>
                <w:lang w:val="vi-VN"/>
              </w:rPr>
              <w:t xml:space="preserve">dự kiến được </w:t>
            </w:r>
            <w:r>
              <w:rPr>
                <w:rFonts w:hint="default" w:ascii="Times New Roman" w:hAnsi="Times New Roman" w:cs="Times New Roman"/>
                <w:iCs/>
                <w:sz w:val="26"/>
                <w:szCs w:val="26"/>
                <w:lang w:val="vi-VN"/>
              </w:rPr>
              <w:t>hỗ trợ từ ngân sách nhà nước;…”.</w:t>
            </w:r>
          </w:p>
        </w:tc>
        <w:tc>
          <w:tcPr>
            <w:tcW w:w="4567" w:type="dxa"/>
          </w:tcPr>
          <w:p w14:paraId="329E535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Dự thảo giữ nguyên nguyên tắc phê duyệt dự án liên kết đồng thời với nội dung hỗ trợ từ ngân sách nhà nước nhằm bảo đảm rõ căn cứ thực hiện, trách nhiệm bố trí nguồn lực và quản lý sau phê duyệt. Tuy nhiên, việc hỗ trợ thực tế vẫn phụ thuộc khả năng cân đối ngân sách, tiến độ thực hiện và điều kiện giải ngân theo quy định của pháp luật.</w:t>
            </w:r>
          </w:p>
        </w:tc>
      </w:tr>
      <w:tr w14:paraId="6AD6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8003A5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315C58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b) Việc tiếp nhận, thẩm định và phê duyệt hồ sơ được thực hiện theo cơ chế một cửa, bảo đảm công khai, minh bạch, đúng thời hạn; </w:t>
            </w:r>
          </w:p>
          <w:p w14:paraId="2D258A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c) Không yêu cầu bổ sung hồ sơ quá một (01) lần trong quá trình thẩm định;</w:t>
            </w:r>
          </w:p>
          <w:p w14:paraId="143F33D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d) Nội dung thẩm định tập trung vào điều kiện hỗ trợ, tính phù hợp với quy định của Nghị định này, hiệu quả kinh tế - xã hội và khả năng tổ chức thực hiện liên kết;</w:t>
            </w:r>
          </w:p>
          <w:p w14:paraId="3BCA0A3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đ) Khuyến khích thực hiện thủ tục hành chính trên môi trường điện tử theo quy định của pháp luật.</w:t>
            </w:r>
          </w:p>
        </w:tc>
        <w:tc>
          <w:tcPr>
            <w:tcW w:w="1898" w:type="dxa"/>
          </w:tcPr>
          <w:p w14:paraId="50F7DE0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Văn phòng Bộ; </w:t>
            </w:r>
            <w:r>
              <w:rPr>
                <w:rFonts w:hint="default" w:ascii="Times New Roman" w:hAnsi="Times New Roman" w:cs="Times New Roman"/>
                <w:sz w:val="26"/>
                <w:szCs w:val="26"/>
              </w:rPr>
              <w:t>Sở Nông nghiệp và Môi trường tỉnh Hà Tĩnh</w:t>
            </w:r>
          </w:p>
        </w:tc>
        <w:tc>
          <w:tcPr>
            <w:tcW w:w="5475" w:type="dxa"/>
          </w:tcPr>
          <w:p w14:paraId="500E069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Đối với các nội dung nguyên tắc quy định tại các điểm: (b) Việc tiếp nhận, thẩm định và phê duyệt hồ sơ một cửa, bảo đảm công khai, minh bạch, đúng thời hạn; được thực hiện theo cơ chế (c) Không yêu cầu bổ sung hồ sơ quá một (01) lần trong quá trình thẩm định; (đ) Khuyến khích thực hiện thủ tục hành chính trên môi trường điện tử theo quy định của pháp luật. Đây là những nội dung mang tính nguyên tắc trong giải quyết thủ tục hành chính đã được pháp luật về giải quyết thủ tục hành chính quy định, không cần thiết phải nêu lại tại dự thảo Nghị định, vì vậy đề nghị nghiên cứu, không quy định lại các nội dung này.</w:t>
            </w:r>
          </w:p>
        </w:tc>
        <w:tc>
          <w:tcPr>
            <w:tcW w:w="4567" w:type="dxa"/>
          </w:tcPr>
          <w:p w14:paraId="451FAA5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Về đề nghị không quy định lại các nguyên tắc đã được pháp luật về thủ tục hành chính điều chỉnh (một cửa, bổ sung hồ sơ một lần, điện tử hóa)</w:t>
            </w:r>
            <w:r>
              <w:rPr>
                <w:rFonts w:hint="default" w:ascii="Times New Roman" w:hAnsi="Times New Roman" w:cs="Times New Roman"/>
                <w:sz w:val="26"/>
                <w:szCs w:val="26"/>
                <w:lang w:val="en-US"/>
              </w:rPr>
              <w:t xml:space="preserve">. Ban oạn thảo tiếp thu </w:t>
            </w:r>
            <w:r>
              <w:rPr>
                <w:rFonts w:hint="default" w:ascii="Times New Roman" w:hAnsi="Times New Roman" w:cs="Times New Roman"/>
                <w:sz w:val="26"/>
                <w:szCs w:val="26"/>
                <w:lang w:val="vi-VN"/>
              </w:rPr>
              <w:t>một phần</w:t>
            </w:r>
            <w:r>
              <w:rPr>
                <w:rFonts w:hint="default" w:ascii="Times New Roman" w:hAnsi="Times New Roman" w:cs="Times New Roman"/>
                <w:sz w:val="26"/>
                <w:szCs w:val="26"/>
                <w:lang w:val="en-US"/>
              </w:rPr>
              <w:t xml:space="preserve"> theo hướng</w:t>
            </w:r>
            <w:r>
              <w:rPr>
                <w:rFonts w:hint="default" w:ascii="Times New Roman" w:hAnsi="Times New Roman" w:cs="Times New Roman"/>
                <w:sz w:val="26"/>
                <w:szCs w:val="26"/>
                <w:lang w:val="vi-VN"/>
              </w:rPr>
              <w:t xml:space="preserve"> tiếp tục giữ các nguyên tắc này nhằm nhấn mạnh yêu cầu cải cách thủ tục hành chính, công khai, minh bạch và tạo thuận lợi cho tổ chức, cá nhân trong thực hiện chính sách hỗ trợ liên kết, đồng thời bảo đảm tính khả thi, thống nhất trong tổ chức thực hiện giữa các địa phương.</w:t>
            </w:r>
          </w:p>
        </w:tc>
      </w:tr>
      <w:tr w14:paraId="2484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DA9972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2E189EEB">
            <w:pPr>
              <w:keepNext w:val="0"/>
              <w:keepLines w:val="0"/>
              <w:pageBreakBefore w:val="0"/>
              <w:kinsoku/>
              <w:wordWrap/>
              <w:overflowPunct/>
              <w:topLinePunct w:val="0"/>
              <w:bidi w:val="0"/>
              <w:snapToGrid/>
              <w:spacing w:beforeAutospacing="0" w:after="0" w:afterAutospacing="0" w:line="240" w:lineRule="auto"/>
              <w:ind w:firstLine="720"/>
              <w:jc w:val="left"/>
              <w:textAlignment w:val="auto"/>
              <w:rPr>
                <w:rFonts w:hint="default" w:ascii="Times New Roman" w:hAnsi="Times New Roman" w:eastAsia="Times New Roman" w:cs="Times New Roman"/>
                <w:sz w:val="26"/>
                <w:szCs w:val="26"/>
                <w:lang w:eastAsia="vi-VN"/>
              </w:rPr>
            </w:pPr>
          </w:p>
        </w:tc>
        <w:tc>
          <w:tcPr>
            <w:tcW w:w="1898" w:type="dxa"/>
          </w:tcPr>
          <w:p w14:paraId="6C6358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Thái Nguyên</w:t>
            </w:r>
          </w:p>
          <w:p w14:paraId="0195587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Cục Thủy sản và kiểm ngư</w:t>
            </w:r>
          </w:p>
        </w:tc>
        <w:tc>
          <w:tcPr>
            <w:tcW w:w="5475" w:type="dxa"/>
          </w:tcPr>
          <w:p w14:paraId="1B8321E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Đề nghị bổ sung khoản 5 vào Điều 16 như sau: “5. Thẩm quyền phê duyệt kế hoạch liên kết a) Chủ tịch Ủy ban nhân dân cấp tỉnh quyết định phê duyệt hoặc ủy quyền cho Thủ trưởng Sở ngành cấp tỉnh phê duyệt kế hoạch và nội dung liên kết cấp tỉnh quản lý; Chủ tịch Ủy ban nhân dân cấp xã phê duyệt hoặc ủy quyền cho Trưởng phòng chuyên môn phê duyệt kế hoạch và nội dung liên kết do cấp xã quản lý. b) Ủy ban nhân dân cấp tỉnh quyết định phân cấp thẩm quyền quản lý, phê duyệt kế hoạch và nội dung liên kết tại địa phương" Lý do: Phù hợp với quy định tại khoản 4, khoản 5 Điều 28, Nghị định 358/2025/NĐ-CP ngày 31/12/2025 của Chính phủ.</w:t>
            </w:r>
          </w:p>
          <w:p w14:paraId="5970995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w:t>
            </w:r>
            <w:r>
              <w:rPr>
                <w:rFonts w:hint="default" w:ascii="Times New Roman" w:hAnsi="Times New Roman" w:cs="Times New Roman"/>
                <w:sz w:val="26"/>
                <w:szCs w:val="26"/>
              </w:rPr>
              <w:t xml:space="preserve">ổ sung điểm </w:t>
            </w:r>
            <w:r>
              <w:rPr>
                <w:rFonts w:hint="default" w:ascii="Times New Roman" w:hAnsi="Times New Roman" w:cs="Times New Roman"/>
                <w:i/>
                <w:iCs/>
                <w:sz w:val="26"/>
                <w:szCs w:val="26"/>
              </w:rPr>
              <w:t>“</w:t>
            </w:r>
            <w:r>
              <w:rPr>
                <w:rFonts w:hint="default" w:ascii="Times New Roman" w:hAnsi="Times New Roman" w:cs="Times New Roman"/>
                <w:iCs/>
                <w:sz w:val="26"/>
                <w:szCs w:val="26"/>
              </w:rPr>
              <w:t>Thực hiện kiểm tra, giám sát, đánh giá định kỳ; trường hợp phát hiện vi phạm hoặc không thực hiện đúng nội dung liên kết thì thu hồi hỗ trợ theo quy định.”</w:t>
            </w:r>
          </w:p>
        </w:tc>
        <w:tc>
          <w:tcPr>
            <w:tcW w:w="4567" w:type="dxa"/>
          </w:tcPr>
          <w:p w14:paraId="4FB66D1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Không tiếp thu. Dự thảo đã quy định rõ thẩm quyền phê duyệt của Ủy ban nhân dân cấp tỉnh và cấp xã trên cơ sở phạm vi thực hiện dự án, nguồn vốn và phân cấp của địa phương. Việc bổ sung cơ chế ủy quyền cho thủ trưởng sở, ngành hoặc trưởng phòng chuyên môn liên quan đến trách nhiệm quản lý, sử dụng ngân sách nhà nước và điều kiện tổ chức bộ máy chính quyền địa phương; đồng thời pháp luật về tổ chức chính quyền địa phương và phân cấp, ủy quyền hiện hành đã có quy định chung để áp dụng khi cần thiết.</w:t>
            </w:r>
          </w:p>
        </w:tc>
      </w:tr>
      <w:tr w14:paraId="0FB1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781" w:type="dxa"/>
            <w:shd w:val="clear" w:color="auto" w:fill="92D050"/>
          </w:tcPr>
          <w:p w14:paraId="68719AEF">
            <w:pPr>
              <w:keepNext w:val="0"/>
              <w:keepLines w:val="0"/>
              <w:pageBreakBefore w:val="0"/>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sz w:val="26"/>
                <w:szCs w:val="26"/>
                <w:lang w:val="vi-VN"/>
              </w:rPr>
            </w:pPr>
          </w:p>
        </w:tc>
        <w:tc>
          <w:tcPr>
            <w:tcW w:w="14586" w:type="dxa"/>
            <w:gridSpan w:val="4"/>
            <w:shd w:val="clear" w:color="auto" w:fill="92D050"/>
            <w:vAlign w:val="center"/>
          </w:tcPr>
          <w:p w14:paraId="02B3C48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firstLine="0" w:firstLineChars="0"/>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color w:val="auto"/>
                <w:sz w:val="26"/>
                <w:szCs w:val="26"/>
                <w:lang w:val="en-US" w:eastAsia="vi-VN"/>
              </w:rPr>
              <w:t>Chương IV: QUYỀN VÀ NGHĨA VỤ CỦA CÁC BÊN THAM GIA LIÊN KẾT</w:t>
            </w:r>
          </w:p>
        </w:tc>
      </w:tr>
      <w:tr w14:paraId="7277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011DE0E">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09F040A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da-DK"/>
              </w:rPr>
            </w:pPr>
          </w:p>
        </w:tc>
        <w:tc>
          <w:tcPr>
            <w:tcW w:w="1898" w:type="dxa"/>
          </w:tcPr>
          <w:p w14:paraId="6B35FE5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Bộ </w:t>
            </w:r>
            <w:r>
              <w:rPr>
                <w:rFonts w:hint="default" w:ascii="Times New Roman" w:hAnsi="Times New Roman" w:cs="Times New Roman"/>
                <w:sz w:val="26"/>
                <w:szCs w:val="26"/>
              </w:rPr>
              <w:t>Nội vụ</w:t>
            </w:r>
          </w:p>
        </w:tc>
        <w:tc>
          <w:tcPr>
            <w:tcW w:w="5475" w:type="dxa"/>
          </w:tcPr>
          <w:p w14:paraId="4426FA6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Chương II, chương IV dự thảo Nghị định (về tổ chức liên kết chuỗi giá trị; quyền và nghĩa vụ của các bên tham gia liên kết) quy định bao gồm: Nguyên tắc phát triển liên kết chuỗi giá trị; hợp đồng liên kết; cơ chế bảo đảm thực hiện liên kết bền vững; quyền của các bên tham gia liên kết; nghĩa vụ của các bên tham gia liên kết; xử lý vi phạm và giải quyết tranh chấp trong liên kết… là những nội dung quan hệ dân sự và thương mại, đề nghị cơ quan chủ trì xây dựng rà soát, nghiên cứu tiếp thu ý kiến của các bộ, ngành có liên quan, địa phương và đối tượng chịu sự tác động để quy định về phát triển liên kết chuỗi giá trị nông nghiệp bền vững tại dự  thảo Nghị định, bảo đảm phù hợp, thống nhất với quy định của pháp luật về dân sự và thương mại</w:t>
            </w:r>
            <w:r>
              <w:rPr>
                <w:rFonts w:hint="default" w:ascii="Times New Roman" w:hAnsi="Times New Roman" w:cs="Times New Roman"/>
                <w:sz w:val="26"/>
                <w:szCs w:val="26"/>
                <w:lang w:val="vi-VN"/>
              </w:rPr>
              <w:t>.</w:t>
            </w:r>
          </w:p>
        </w:tc>
        <w:tc>
          <w:tcPr>
            <w:tcW w:w="4567" w:type="dxa"/>
          </w:tcPr>
          <w:p w14:paraId="25400EB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ý kiến của Bộ Nội vụ. Cơ quan soạn thảo đã rà soát toàn diện các quy định tại Chương II và Chương IV theo hướng bảo đảm thống nhất, không chồng chéo với pháp luật về dân sự và thương mại. Theo đó, dự thảo Nghị định chỉ quy định các nguyên tắc, khung pháp lý và cơ chế khuyến khích phát triển liên kết chuỗi giá trị nông nghiệp bền vững; không can thiệp vào quyền tự do thỏa thuận hợp pháp của các bên trong quan hệ dân sự, thương mại. Các nội dung về hợp đồng liên kết, quyền và nghĩa vụ, xử lý vi phạm, giải quyết tranh chấp, cơ chế bảo đảm thực hiện liên kết được chỉnh lý theo hướng viện dẫn, tuân thủ Bộ luật Dân sự, Luật Thương mại và pháp luật có liên quan; đồng thời khuyến khích các bên thỏa thuận cụ thể trong hợp đồng nhằm bảo đảm tính khả thi, ổn định và bền vững của liên kết chuỗi giá trị nông nghiệp.</w:t>
            </w:r>
          </w:p>
        </w:tc>
      </w:tr>
      <w:tr w14:paraId="5B4D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B6B8FC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7E1F4C0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eastAsia="vi-VN"/>
              </w:rPr>
            </w:pPr>
            <w:r>
              <w:rPr>
                <w:rFonts w:hint="default" w:ascii="Times New Roman" w:hAnsi="Times New Roman" w:eastAsia="Times New Roman" w:cs="Times New Roman"/>
                <w:b/>
                <w:bCs/>
                <w:sz w:val="26"/>
                <w:szCs w:val="26"/>
                <w:lang w:eastAsia="vi-VN"/>
              </w:rPr>
              <w:t>Điều 17. Quyền của các bên tham gia liên kết</w:t>
            </w:r>
          </w:p>
        </w:tc>
        <w:tc>
          <w:tcPr>
            <w:tcW w:w="1898" w:type="dxa"/>
            <w:shd w:val="clear" w:color="auto" w:fill="auto"/>
            <w:vAlign w:val="top"/>
          </w:tcPr>
          <w:p w14:paraId="11B446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lang w:val="en-US"/>
              </w:rPr>
              <w:t>Vụ Pháp chế</w:t>
            </w:r>
          </w:p>
        </w:tc>
        <w:tc>
          <w:tcPr>
            <w:tcW w:w="5475" w:type="dxa"/>
            <w:shd w:val="clear" w:color="auto" w:fill="auto"/>
            <w:vAlign w:val="top"/>
          </w:tcPr>
          <w:p w14:paraId="4C07C27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Đề nghị quy định bổ sung trách nhiệm của chủ trì liên kết tại các quy định về liên kết, hỗ trợ, quyền và nghĩa vụ...</w:t>
            </w:r>
          </w:p>
        </w:tc>
        <w:tc>
          <w:tcPr>
            <w:tcW w:w="4567" w:type="dxa"/>
          </w:tcPr>
          <w:p w14:paraId="60BD5AB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Tiếp thu. Dự thảo đã rà soát, bổ sung và làm rõ vai trò, trách nhiệm của chủ trì liên kết tại các điều khoản về tổ chức liên kết, hỗ trợ, quyền và nghĩa vụ của các bên tham gia liên kết</w:t>
            </w:r>
            <w:r>
              <w:rPr>
                <w:rFonts w:hint="default" w:ascii="Times New Roman" w:hAnsi="Times New Roman" w:cs="Times New Roman"/>
                <w:sz w:val="26"/>
                <w:szCs w:val="26"/>
                <w:lang w:val="en-US"/>
              </w:rPr>
              <w:t>.</w:t>
            </w:r>
          </w:p>
        </w:tc>
      </w:tr>
      <w:tr w14:paraId="2653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101485B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2D4881F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3. Được sử dụng tài sản hợp pháp hình thành trong quá trình liên kết: tài sản đầu tư trên đất, tài sản hình thành từ vốn vay và tài sản được Nhà nước hỗ trợ (nếu có) để bảo đảm vay vốn tại các tổ chức tín dụng theo quy định của pháp luật.</w:t>
            </w:r>
          </w:p>
        </w:tc>
        <w:tc>
          <w:tcPr>
            <w:tcW w:w="1898" w:type="dxa"/>
          </w:tcPr>
          <w:p w14:paraId="51AE52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Ngân hàng Nhà nước Việt </w:t>
            </w:r>
            <w:r>
              <w:rPr>
                <w:rFonts w:hint="default" w:ascii="Times New Roman" w:hAnsi="Times New Roman" w:cs="Times New Roman"/>
                <w:sz w:val="26"/>
                <w:szCs w:val="26"/>
                <w:lang w:val="vi-VN"/>
              </w:rPr>
              <w:t>Nam; Cục Quản lý và xây dựng Công trình thủy lợi; VP Quốc gia vê giảm nghèo</w:t>
            </w:r>
          </w:p>
        </w:tc>
        <w:tc>
          <w:tcPr>
            <w:tcW w:w="5475" w:type="dxa"/>
          </w:tcPr>
          <w:p w14:paraId="279CB87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ề nghị xem xét chỉnh sửa thành:</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“Được sử dụng tài sản hợp pháp hình thành trong quá trình liên kết để bảo đảm vay vốn và thực hiện nghĩa vụ theo quy định của pháp luật.” nhằm đảm bảo tính tổng quát.</w:t>
            </w:r>
          </w:p>
        </w:tc>
        <w:tc>
          <w:tcPr>
            <w:tcW w:w="4567" w:type="dxa"/>
          </w:tcPr>
          <w:p w14:paraId="1A19F0A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Tiếp thu. Để bảo đảm tính khái quát, thống nhất với pháp luật dân sự, tín dụng và tránh liệt kê cụ thể từng loại tài sản, dự thảo chỉnh sửa khoản 3 theo hướng:</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“Được sử dụng tài sản hợp pháp hình thành trong quá trình liên kết để bảo đảm vay vốn và thực hiện nghĩa vụ theo quy định của pháp luật”.</w:t>
            </w:r>
          </w:p>
        </w:tc>
      </w:tr>
      <w:tr w14:paraId="6E5C3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0E9998E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0CA2E31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vMerge w:val="restart"/>
          </w:tcPr>
          <w:p w14:paraId="33D8868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Tập đoàn Nông nghiệp sạch hữu cơ Toàn Cầu</w:t>
            </w:r>
          </w:p>
        </w:tc>
        <w:tc>
          <w:tcPr>
            <w:tcW w:w="5475" w:type="dxa"/>
          </w:tcPr>
          <w:p w14:paraId="1665D3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Cho phép sử dụng hợp đồng liên kết, tài sản số, tín chỉ carbon làm tài sản bảo đảm vay vốn.</w:t>
            </w:r>
          </w:p>
        </w:tc>
        <w:tc>
          <w:tcPr>
            <w:tcW w:w="4567" w:type="dxa"/>
          </w:tcPr>
          <w:p w14:paraId="05DFAD7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Nội dung này thuộc phạm vi pháp luật dân sự, tín dụng</w:t>
            </w:r>
            <w:r>
              <w:rPr>
                <w:rFonts w:hint="default" w:ascii="Times New Roman" w:hAnsi="Times New Roman" w:cs="Times New Roman"/>
                <w:sz w:val="26"/>
                <w:szCs w:val="26"/>
                <w:lang w:val="en-US"/>
              </w:rPr>
              <w:t xml:space="preserve"> (không thuộc phạm vi điều chỉnh của Nghị định này)</w:t>
            </w:r>
            <w:r>
              <w:rPr>
                <w:rFonts w:hint="default" w:ascii="Times New Roman" w:hAnsi="Times New Roman" w:cs="Times New Roman"/>
                <w:sz w:val="26"/>
                <w:szCs w:val="26"/>
                <w:lang w:val="vi-VN"/>
              </w:rPr>
              <w:t>; dự thảo chỉ quy định nguyên tắc hỗ trợ tiếp cận tín dụng.</w:t>
            </w:r>
          </w:p>
        </w:tc>
      </w:tr>
      <w:tr w14:paraId="1B3D8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3860D88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4A4CABA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vMerge w:val="continue"/>
            <w:tcBorders/>
          </w:tcPr>
          <w:p w14:paraId="6D7F5D9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5475" w:type="dxa"/>
          </w:tcPr>
          <w:p w14:paraId="513F710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Không quy định nội dung bảo đảm vay vốn trong Nghị định.</w:t>
            </w:r>
          </w:p>
        </w:tc>
        <w:tc>
          <w:tcPr>
            <w:tcW w:w="4567" w:type="dxa"/>
          </w:tcPr>
          <w:p w14:paraId="1486779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Dự thảo không quy định cụ thể về tài sản bảo đảm, chỉ quy định nguyên tắc hỗ trợ tiếp cận tín dụng.</w:t>
            </w:r>
          </w:p>
        </w:tc>
      </w:tr>
      <w:tr w14:paraId="2C3B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57BFB9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765CA93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 xml:space="preserve">4. Được tiếp cận, cung cấp và chia sẻ thông tin liên quan đến liên kết: cơ chế, chính sách; giá cả, thị trường; tiêu chuẩn, quy chuẩn chất lượng; khoa học - kỹ thuật; công nghệ; dịch vụ công và các thông tin cần thiết khác phục vụ phát triển liên </w:t>
            </w:r>
            <w:r>
              <w:rPr>
                <w:rFonts w:hint="default" w:ascii="Times New Roman" w:hAnsi="Times New Roman" w:eastAsia="Times New Roman" w:cs="Times New Roman"/>
                <w:sz w:val="26"/>
                <w:szCs w:val="26"/>
                <w:lang w:val="vi-VN" w:eastAsia="vi-VN"/>
              </w:rPr>
              <w:t>kết</w:t>
            </w:r>
            <w:r>
              <w:rPr>
                <w:rFonts w:hint="default" w:ascii="Times New Roman" w:hAnsi="Times New Roman" w:eastAsia="Times New Roman" w:cs="Times New Roman"/>
                <w:sz w:val="26"/>
                <w:szCs w:val="26"/>
                <w:lang w:eastAsia="vi-VN"/>
              </w:rPr>
              <w:t xml:space="preserve"> sản xuất, chế biến và tiêu thụ sản phẩm.</w:t>
            </w:r>
          </w:p>
        </w:tc>
        <w:tc>
          <w:tcPr>
            <w:tcW w:w="1898" w:type="dxa"/>
          </w:tcPr>
          <w:p w14:paraId="5BD45C2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PTNT Cà Mau</w:t>
            </w:r>
          </w:p>
        </w:tc>
        <w:tc>
          <w:tcPr>
            <w:tcW w:w="5475" w:type="dxa"/>
          </w:tcPr>
          <w:p w14:paraId="7CE00E6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đơn vị soạn thảo nghiên cứu điều chỉnh lại như sau “Các thông tin cần thiết khác phục vụ phát triển liên kết sản xuất, thu mua, sơ chế, chế biến, bảo quản và tiêu thụ sản phẩm”</w:t>
            </w:r>
          </w:p>
        </w:tc>
        <w:tc>
          <w:tcPr>
            <w:tcW w:w="4567" w:type="dxa"/>
          </w:tcPr>
          <w:p w14:paraId="3A961F4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6E832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A7D629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73CF9F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6. Được bảo đảm quyền sở hữu, quyền sử dụng hợp pháp đối với tài sản, công trình hạ tầng phục vụ liên kết, bao gồm cả tài sản được Nhà nước hỗ trợ, theo quy định của pháp luật.</w:t>
            </w:r>
          </w:p>
        </w:tc>
        <w:tc>
          <w:tcPr>
            <w:tcW w:w="1898" w:type="dxa"/>
          </w:tcPr>
          <w:p w14:paraId="294EB69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Quản lý và xây dựng Công trình thủy lợi</w:t>
            </w:r>
          </w:p>
        </w:tc>
        <w:tc>
          <w:tcPr>
            <w:tcW w:w="5475" w:type="dxa"/>
          </w:tcPr>
          <w:p w14:paraId="4BBFF00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R</w:t>
            </w:r>
            <w:r>
              <w:rPr>
                <w:rFonts w:hint="default" w:ascii="Times New Roman" w:hAnsi="Times New Roman" w:cs="Times New Roman"/>
                <w:sz w:val="26"/>
                <w:szCs w:val="26"/>
              </w:rPr>
              <w:t>à soát lại quy định tại khoản 6 Điều 17 về việc bảo đảm quyền sở hữu hợp pháp để bảo đảm vay vốn bao gồm cả tài sản được Nhà nước hỗ trợ đầu tư xây dựng, mua sắm 100% bằng nguồn vốn đầu tư công tại điểm b khoản 3 của dự thảo.</w:t>
            </w:r>
          </w:p>
        </w:tc>
        <w:tc>
          <w:tcPr>
            <w:tcW w:w="4567" w:type="dxa"/>
          </w:tcPr>
          <w:p w14:paraId="1D695F8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Dự thảo đã rà soát quy định tại khoản 3 và khoản 6 Điều 17 theo hướng bảo đảm thống nhất với pháp luật về đầu tư công, quản lý tài sản công, ngân sách nhà nước và tín dụng. Theo đó, việc sử dụng tài sản được Nhà nước hỗ trợ, đặc biệt tài sản hình thành từ nguồn vốn đầu tư công, để bảo đảm vay vốn phải thực hiện theo quy định của pháp luật về quản lý, sử dụng tài sản công và pháp luật có liên quan; không mặc nhiên áp dụng đối với mọi tài sản được hỗ trợ 100% từ ngân sách nhà nước.</w:t>
            </w:r>
          </w:p>
        </w:tc>
      </w:tr>
      <w:tr w14:paraId="62A53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38819381">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5E04866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sz w:val="26"/>
                <w:szCs w:val="26"/>
                <w:lang w:eastAsia="vi-VN"/>
              </w:rPr>
              <w:t>Điều 18. Nghĩa vụ của các bên tham gia liên kết</w:t>
            </w:r>
          </w:p>
        </w:tc>
        <w:tc>
          <w:tcPr>
            <w:tcW w:w="1898" w:type="dxa"/>
          </w:tcPr>
          <w:p w14:paraId="6EA5867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5F2399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73C4DED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4242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4CECFC6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3A9ACFA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3. Tuân thủ các quy định của pháp luật về sản xuất, chế biến, tiêu thụ sản phẩm nông nghiệp; bảo đảm tiêu chuẩn chất lượng, an toàn thực phẩm, an toàn dịch bệnh, bảo vệ môi trường và sức khỏe con người trong quá trình thực hiện hợp đồng liên kết.</w:t>
            </w:r>
          </w:p>
        </w:tc>
        <w:tc>
          <w:tcPr>
            <w:tcW w:w="1898" w:type="dxa"/>
          </w:tcPr>
          <w:p w14:paraId="601E3A2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Cà Mau</w:t>
            </w:r>
          </w:p>
        </w:tc>
        <w:tc>
          <w:tcPr>
            <w:tcW w:w="5475" w:type="dxa"/>
          </w:tcPr>
          <w:p w14:paraId="02A8B76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ề nghị đơn vị soạn thảo nghiên cứu điều chỉnh lại như sau “Tuân thủ các quy định của pháp luật về sản xuất, thu mua, sơ chế, chế biến, bảo quản và tiêu thụ sản phẩm nông nghiệp”</w:t>
            </w:r>
            <w:r>
              <w:rPr>
                <w:rFonts w:hint="default" w:ascii="Times New Roman" w:hAnsi="Times New Roman" w:cs="Times New Roman"/>
                <w:sz w:val="26"/>
                <w:szCs w:val="26"/>
                <w:lang w:val="vi-VN"/>
              </w:rPr>
              <w:t>.</w:t>
            </w:r>
          </w:p>
        </w:tc>
        <w:tc>
          <w:tcPr>
            <w:tcW w:w="4567" w:type="dxa"/>
          </w:tcPr>
          <w:p w14:paraId="1D90420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Tiếp thu. Đ</w:t>
            </w:r>
            <w:r>
              <w:rPr>
                <w:rFonts w:hint="default" w:ascii="Times New Roman" w:hAnsi="Times New Roman" w:cs="Times New Roman"/>
                <w:sz w:val="26"/>
                <w:szCs w:val="26"/>
                <w:lang w:val="en-US"/>
              </w:rPr>
              <w:t>đã bổ sung đ</w:t>
            </w:r>
            <w:r>
              <w:rPr>
                <w:rFonts w:hint="default" w:ascii="Times New Roman" w:hAnsi="Times New Roman" w:cs="Times New Roman"/>
                <w:sz w:val="26"/>
                <w:szCs w:val="26"/>
                <w:lang w:val="vi-VN"/>
              </w:rPr>
              <w:t>ể bảo đảm thống nhất với phạm vi chuỗi giá trị nông nghiệp và bao quát đầy đủ các công đoạn trong liên kết, dự thảo chỉnh sửa khoản 3 Điều 18</w:t>
            </w:r>
          </w:p>
        </w:tc>
      </w:tr>
      <w:tr w14:paraId="4175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47BC108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14D2AB1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70FB47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Môi trường</w:t>
            </w:r>
          </w:p>
        </w:tc>
        <w:tc>
          <w:tcPr>
            <w:tcW w:w="5475" w:type="dxa"/>
          </w:tcPr>
          <w:p w14:paraId="72F2329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Bổ sung quy định trách nhiệm của "Chủ trì liên kết" trong việc hướng dẫn và giám sát các hộ nông dân thực hiện thu gom bao bì thuốc bảo vệ thực vật và xử lý chất thải chăn nuôi/trồng trọt theo quy định pháp luật về bảo vệ môi trường</w:t>
            </w:r>
          </w:p>
        </w:tc>
        <w:tc>
          <w:tcPr>
            <w:tcW w:w="4567" w:type="dxa"/>
          </w:tcPr>
          <w:p w14:paraId="508CB7D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quy định quá chi tiết riêng đối với hoạt động thu gom bao bì thuốc bảo vệ thực vật hoặc xử lý chất thải chăn nuôi, trồng trọt tại Điều 18 do các nội dung này đã được điều chỉnh tương đối đầy đủ trong pháp luật chuyên ngành về bảo vệ môi trường, trồng trọt, chăn nuôi và bảo vệ thực vật.</w:t>
            </w:r>
          </w:p>
        </w:tc>
      </w:tr>
      <w:tr w14:paraId="030D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2BC697F">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4128332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3E406A4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thành phố Hà Nội</w:t>
            </w:r>
          </w:p>
        </w:tc>
        <w:tc>
          <w:tcPr>
            <w:tcW w:w="5475" w:type="dxa"/>
          </w:tcPr>
          <w:p w14:paraId="48398486">
            <w:pPr>
              <w:keepNext w:val="0"/>
              <w:keepLines w:val="0"/>
              <w:pageBreakBefore w:val="0"/>
              <w:kinsoku/>
              <w:wordWrap/>
              <w:overflowPunct/>
              <w:topLinePunct w:val="0"/>
              <w:autoSpaceDE w:val="0"/>
              <w:autoSpaceDN w:val="0"/>
              <w:bidi w:val="0"/>
              <w:adjustRightInd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val="vi-VN" w:eastAsia="vi-VN"/>
              </w:rPr>
              <w:t xml:space="preserve">Bổ sung các quy định </w:t>
            </w:r>
            <w:r>
              <w:rPr>
                <w:rFonts w:hint="default" w:ascii="Times New Roman" w:hAnsi="Times New Roman" w:eastAsia="Times New Roman" w:cs="Times New Roman"/>
                <w:sz w:val="26"/>
                <w:szCs w:val="26"/>
                <w:lang w:eastAsia="vi-VN"/>
              </w:rPr>
              <w:t>về việc các tổ chức, cá nhân được nhận hỗ trợ cần đề xuất các biện pháp cụ thể để bảo đảm hoàn trả đầy đủ phần ngân sách nhà nước hỗ trợ theo quy định nêu trên trong mẫu kế hoạch liên kết; đồng thời bổ sung quy định cụ thể về các trương hợp thu hồi toàn bộ, trường hợp thu hồi một phần các khoản hỗ trợ, ưu đãi của Nhà nước, làm cơ sở để thực hiện.</w:t>
            </w:r>
          </w:p>
        </w:tc>
        <w:tc>
          <w:tcPr>
            <w:tcW w:w="4567" w:type="dxa"/>
          </w:tcPr>
          <w:p w14:paraId="619DF00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bổ sung tại quy định về hỗ trợ liên kết, hồ sơ dự án liên kết và hậu kiểm theo hướng làm rõ các trường hợp xem xét thu hồi toàn bộ hoặc một phần khoản hỗ trợ của Nhà nước, bảo đảm có căn cứ tổ chức thực hiện, tránh thất thoát ngân sách nhà nước.</w:t>
            </w:r>
          </w:p>
        </w:tc>
      </w:tr>
      <w:tr w14:paraId="2E27A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7FA75F0">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5E8B817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sz w:val="26"/>
                <w:szCs w:val="26"/>
                <w:lang w:eastAsia="vi-VN"/>
              </w:rPr>
              <w:t>Điều 19. Xử lý vi phạm và giải quyết tranh chấp trong liên kết</w:t>
            </w:r>
          </w:p>
        </w:tc>
        <w:tc>
          <w:tcPr>
            <w:tcW w:w="1898" w:type="dxa"/>
          </w:tcPr>
          <w:p w14:paraId="28F2365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6F1BF42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1E729E1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r>
      <w:tr w14:paraId="02B7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7B58C65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17BD029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d) Trường hợp vi phạm nghiêm trọng, có thể bị xem xét không được tham gia các chính sách hỗ trợ liên kết trong một thời gian nhất định theo quy định của Ủy ban nhân dân cấp tỉnh.</w:t>
            </w:r>
          </w:p>
        </w:tc>
        <w:tc>
          <w:tcPr>
            <w:tcW w:w="1898" w:type="dxa"/>
          </w:tcPr>
          <w:p w14:paraId="4918594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UBND tỉnh Lâm Đồng</w:t>
            </w:r>
          </w:p>
        </w:tc>
        <w:tc>
          <w:tcPr>
            <w:tcW w:w="5475" w:type="dxa"/>
          </w:tcPr>
          <w:p w14:paraId="4626DD0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Ban soạn thảo quy định cụ thể các hành vi được xác định là vi phạm nghiêm trọng làm căn cứ áp dụng; đồng thời, xem xét quy định hình thức không được tham gia các chương trình hỗ trợ từ ngân sách nhà nước trong thời hạn từ 05 đến 10 năm, áp dụng thống nhất trên phạm vi cả nước.</w:t>
            </w:r>
          </w:p>
        </w:tc>
        <w:tc>
          <w:tcPr>
            <w:tcW w:w="4567" w:type="dxa"/>
          </w:tcPr>
          <w:p w14:paraId="5BF936C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hông quy định cứng thời hạn từ 05 đến 10 năm áp dụng thống nhất trên phạm vi cả nước, do tính chất, mức độ vi phạm, điều kiện quản lý và đặc thù ngành hàng, địa phương có sự khác nhau. Dự thảo tiếp tục quy định theo hướng giao Ủy ban nhân dân cấp tỉnh xem xét quyết định thời hạn không tham gia chính sách hỗ trợ liên kết phù hợp với tính chất, mức độ vi phạm và quy định của pháp luật có liên quan, bảo đảm tính linh hoạt, khả thi và phù hợp nguyên tắc phân cấp quản lý nhà nước.</w:t>
            </w:r>
          </w:p>
        </w:tc>
      </w:tr>
      <w:tr w14:paraId="3203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21354AE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1486FA7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sz w:val="26"/>
                <w:szCs w:val="26"/>
                <w:lang w:val="vi-VN"/>
              </w:rPr>
            </w:pPr>
          </w:p>
        </w:tc>
        <w:tc>
          <w:tcPr>
            <w:tcW w:w="1898" w:type="dxa"/>
          </w:tcPr>
          <w:p w14:paraId="1942DD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Khoa học và Công nghệ</w:t>
            </w:r>
          </w:p>
        </w:tc>
        <w:tc>
          <w:tcPr>
            <w:tcW w:w="5475" w:type="dxa"/>
          </w:tcPr>
          <w:p w14:paraId="353E1B4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Đề nghị </w:t>
            </w:r>
            <w:r>
              <w:rPr>
                <w:rFonts w:hint="default" w:ascii="Times New Roman" w:hAnsi="Times New Roman" w:cs="Times New Roman"/>
                <w:sz w:val="26"/>
                <w:szCs w:val="26"/>
              </w:rPr>
              <w:t>bổ sung như sau: “Việc hỗ trợ chuyển giao công nghệ phải được gắn với các chỉ số đo lường cụ thể KPI về tăng năng suất lao động, giảm chi phí sản xuất, giảm tổn thất sau thu hoạch, giảm phát thải khí nhà kính… Việc hỗ trợ chỉ được giải ngân theo tiến độ đạt KPI và áp dụng cơ chế thu hồi toàn bộ hoặc một phần kinh phí hỗ trợ nếu không đạt KPI sau thời hạn 12 - 24 tháng (trừ trường hợp bất khả kháng theo quy định của pháp luật)”;</w:t>
            </w:r>
          </w:p>
        </w:tc>
        <w:tc>
          <w:tcPr>
            <w:tcW w:w="4567" w:type="dxa"/>
          </w:tcPr>
          <w:p w14:paraId="2AA90A7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vi-VN"/>
              </w:rPr>
              <w:t>Không tiếp thu theo hướng quy định cứng trong Điều 19. Việc quy định bắt buộc áp dụng KPI thống nhất, thời hạn đánh giá 12–24 tháng và cơ chế giải ngân, thu hồi áp dụng chung đối với mọi dự án liên kết có thể chưa phù hợp với tính đa dạng của ngành hàng, chu kỳ sản xuất, mức độ ứng dụng công nghệ và rủi ro khách quan trong nông nghiệp.</w:t>
            </w:r>
            <w:r>
              <w:rPr>
                <w:rFonts w:hint="default" w:ascii="Times New Roman" w:hAnsi="Times New Roman" w:cs="Times New Roman"/>
                <w:sz w:val="26"/>
                <w:szCs w:val="26"/>
                <w:lang w:val="en-US"/>
              </w:rPr>
              <w:t xml:space="preserve"> Tuy nhiên, dự thảo tiếp thu theo hướng khuyến khích xây dựng các chỉ số đánh giá kết quả đầu ra phù hợp với từng dự án liên kết.</w:t>
            </w:r>
          </w:p>
        </w:tc>
      </w:tr>
      <w:tr w14:paraId="19D3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781" w:type="dxa"/>
            <w:shd w:val="clear" w:color="auto" w:fill="92D050"/>
          </w:tcPr>
          <w:p w14:paraId="23D4A08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14586" w:type="dxa"/>
            <w:gridSpan w:val="4"/>
            <w:shd w:val="clear" w:color="auto" w:fill="92D050"/>
            <w:vAlign w:val="center"/>
          </w:tcPr>
          <w:p w14:paraId="41DF70F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color w:val="auto"/>
                <w:sz w:val="26"/>
                <w:szCs w:val="26"/>
                <w:lang w:val="en-US" w:eastAsia="vi-VN"/>
              </w:rPr>
              <w:t>Chương V: TỔ CHỨC THỰC HIỆN</w:t>
            </w:r>
          </w:p>
        </w:tc>
      </w:tr>
      <w:tr w14:paraId="6226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13419FA2">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2EABDC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b/>
                <w:bCs/>
                <w:sz w:val="26"/>
                <w:szCs w:val="26"/>
                <w:lang w:eastAsia="vi-VN"/>
              </w:rPr>
              <w:t>Điều 20. Trách nhiệm của các bộ, cơ quan ngang bộ</w:t>
            </w:r>
          </w:p>
        </w:tc>
        <w:tc>
          <w:tcPr>
            <w:tcW w:w="1898" w:type="dxa"/>
            <w:shd w:val="clear" w:color="auto" w:fill="auto"/>
            <w:vAlign w:val="top"/>
          </w:tcPr>
          <w:p w14:paraId="1223F4F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en-US"/>
              </w:rPr>
              <w:t>L</w:t>
            </w:r>
            <w:r>
              <w:rPr>
                <w:rFonts w:hint="default" w:ascii="Times New Roman" w:hAnsi="Times New Roman" w:cs="Times New Roman"/>
                <w:sz w:val="26"/>
                <w:szCs w:val="26"/>
              </w:rPr>
              <w:t>iên m</w:t>
            </w:r>
            <w:r>
              <w:rPr>
                <w:rFonts w:hint="default" w:ascii="Times New Roman" w:hAnsi="Times New Roman" w:cs="Times New Roman"/>
                <w:sz w:val="26"/>
                <w:szCs w:val="26"/>
                <w:lang w:val="en-US"/>
              </w:rPr>
              <w:t>i</w:t>
            </w:r>
            <w:r>
              <w:rPr>
                <w:rFonts w:hint="default" w:ascii="Times New Roman" w:hAnsi="Times New Roman" w:cs="Times New Roman"/>
                <w:sz w:val="26"/>
                <w:szCs w:val="26"/>
              </w:rPr>
              <w:t>nh HTX Việt Nam</w:t>
            </w:r>
          </w:p>
        </w:tc>
        <w:tc>
          <w:tcPr>
            <w:tcW w:w="5475" w:type="dxa"/>
            <w:shd w:val="clear" w:color="auto" w:fill="auto"/>
            <w:vAlign w:val="top"/>
          </w:tcPr>
          <w:p w14:paraId="0BD48136">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rPr>
              <w:t xml:space="preserve">Đề nghị đổi tên thành: “Điều 20. Trách nhiệm của các bộ, cơ quan trung ương và Liên minh Hợp tác xã Việt Nam.” </w:t>
            </w:r>
          </w:p>
          <w:p w14:paraId="338E749A">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color w:val="auto"/>
                <w:kern w:val="0"/>
                <w:sz w:val="26"/>
                <w:szCs w:val="26"/>
                <w:lang w:val="en-US" w:eastAsia="en-US" w:bidi="ar-SA"/>
                <w14:ligatures w14:val="standardContextual"/>
              </w:rPr>
            </w:pPr>
            <w:r>
              <w:rPr>
                <w:rFonts w:hint="default" w:ascii="Times New Roman" w:hAnsi="Times New Roman" w:cs="Times New Roman"/>
                <w:color w:val="auto"/>
                <w:sz w:val="26"/>
                <w:szCs w:val="26"/>
                <w:lang w:val="en-US"/>
              </w:rPr>
              <w:t xml:space="preserve">Lý do: </w:t>
            </w:r>
            <w:r>
              <w:rPr>
                <w:rFonts w:hint="default" w:ascii="Times New Roman" w:hAnsi="Times New Roman" w:cs="Times New Roman"/>
                <w:color w:val="auto"/>
                <w:sz w:val="26"/>
                <w:szCs w:val="26"/>
              </w:rPr>
              <w:t xml:space="preserve">Tên điều cần bao quát đầy đủ chủ thể được quy định trong điều. </w:t>
            </w:r>
          </w:p>
        </w:tc>
        <w:tc>
          <w:tcPr>
            <w:tcW w:w="4567" w:type="dxa"/>
          </w:tcPr>
          <w:p w14:paraId="3E65CAE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Đây là một Nghị định của Chính phủ quy định trách nhiệm quản lý nhà nước, nên tên điều đang quy định “Trách nhiệm của các bộ, cơ quan ngang bộ” là phù hợp với kỹ thuật lập pháp. Việc trong điều có quy định thêm trách nhiệm của một tổ chức chính trị - xã hội nghề nghiệp hoặc tổ chức đại diện (như Liên minh HTX Việt Nam) không nhất thiết phải đưa vào tên điều.</w:t>
            </w:r>
          </w:p>
        </w:tc>
      </w:tr>
      <w:tr w14:paraId="349B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3457D13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14EAE07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eastAsia="vi-VN"/>
              </w:rPr>
            </w:pPr>
          </w:p>
        </w:tc>
        <w:tc>
          <w:tcPr>
            <w:tcW w:w="1898" w:type="dxa"/>
            <w:shd w:val="clear" w:color="auto" w:fill="auto"/>
            <w:vAlign w:val="top"/>
          </w:tcPr>
          <w:p w14:paraId="29D4501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Bộ Nội vụ</w:t>
            </w:r>
          </w:p>
        </w:tc>
        <w:tc>
          <w:tcPr>
            <w:tcW w:w="5475" w:type="dxa"/>
            <w:shd w:val="clear" w:color="auto" w:fill="auto"/>
            <w:vAlign w:val="top"/>
          </w:tcPr>
          <w:p w14:paraId="40209627">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sz w:val="26"/>
                <w:szCs w:val="26"/>
                <w:lang w:val="vi-VN"/>
              </w:rPr>
              <w:t>Đề nghị sửa cụm từ “các bộ, cơ quan ngang bộ khác” thành “các bộ, cơ quan ngang bộ có liên quan”, vì không phải tất các bộ, cơ quan ngang bộ trong phạm vi lĩnh vực quản lý nhà nước được giao đều có nhiệm vụ liên quan đến nội dung liên kết chuỗi giá trị nông nghiệp bền vững.</w:t>
            </w:r>
          </w:p>
        </w:tc>
        <w:tc>
          <w:tcPr>
            <w:tcW w:w="4567" w:type="dxa"/>
          </w:tcPr>
          <w:p w14:paraId="7E25AD8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20DE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453848E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25C7E2D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eastAsia="vi-VN"/>
              </w:rPr>
            </w:pPr>
          </w:p>
        </w:tc>
        <w:tc>
          <w:tcPr>
            <w:tcW w:w="1898" w:type="dxa"/>
            <w:shd w:val="clear" w:color="auto" w:fill="auto"/>
            <w:vAlign w:val="top"/>
          </w:tcPr>
          <w:p w14:paraId="7AB409F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vi-VN"/>
              </w:rPr>
              <w:t xml:space="preserve">Bộ Công </w:t>
            </w:r>
            <w:r>
              <w:rPr>
                <w:rFonts w:hint="default" w:ascii="Times New Roman" w:hAnsi="Times New Roman" w:cs="Times New Roman"/>
                <w:sz w:val="26"/>
                <w:szCs w:val="26"/>
                <w:lang w:val="en-US"/>
              </w:rPr>
              <w:t>a</w:t>
            </w:r>
            <w:r>
              <w:rPr>
                <w:rFonts w:hint="default" w:ascii="Times New Roman" w:hAnsi="Times New Roman" w:cs="Times New Roman"/>
                <w:sz w:val="26"/>
                <w:szCs w:val="26"/>
                <w:lang w:val="vi-VN"/>
              </w:rPr>
              <w:t>n</w:t>
            </w:r>
          </w:p>
        </w:tc>
        <w:tc>
          <w:tcPr>
            <w:tcW w:w="5475" w:type="dxa"/>
            <w:shd w:val="clear" w:color="auto" w:fill="auto"/>
            <w:vAlign w:val="top"/>
          </w:tcPr>
          <w:p w14:paraId="5867F3A4">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pacing w:val="3"/>
                <w:kern w:val="0"/>
                <w:sz w:val="26"/>
                <w:szCs w:val="26"/>
                <w14:ligatures w14:val="none"/>
              </w:rPr>
            </w:pPr>
            <w:r>
              <w:rPr>
                <w:rFonts w:hint="default" w:ascii="Times New Roman" w:hAnsi="Times New Roman" w:eastAsia="Times New Roman" w:cs="Times New Roman"/>
                <w:spacing w:val="3"/>
                <w:kern w:val="0"/>
                <w:sz w:val="26"/>
                <w:szCs w:val="26"/>
                <w:lang w:val="en-US"/>
                <w14:ligatures w14:val="none"/>
              </w:rPr>
              <w:t>- Q</w:t>
            </w:r>
            <w:r>
              <w:rPr>
                <w:rFonts w:hint="default" w:ascii="Times New Roman" w:hAnsi="Times New Roman" w:eastAsia="Times New Roman" w:cs="Times New Roman"/>
                <w:spacing w:val="3"/>
                <w:kern w:val="0"/>
                <w:sz w:val="26"/>
                <w:szCs w:val="26"/>
                <w:lang w:val="vi-VN"/>
                <w14:ligatures w14:val="none"/>
              </w:rPr>
              <w:t xml:space="preserve">uy định về quản lý khai thác, chia sẻ và đảm bảo an toàn dữ liệu chuỗi giá trị nông nghiệp tại khoản 6 điều 3, Điều 14, điểm d khoản 1 </w:t>
            </w:r>
            <w:r>
              <w:rPr>
                <w:rFonts w:hint="default" w:ascii="Times New Roman" w:hAnsi="Times New Roman" w:eastAsia="Times New Roman" w:cs="Times New Roman"/>
                <w:spacing w:val="3"/>
                <w:kern w:val="0"/>
                <w:sz w:val="26"/>
                <w:szCs w:val="26"/>
                <w14:ligatures w14:val="none"/>
              </w:rPr>
              <w:t>Điều 20 và khoản 8 Điều 21 cần bổ sung cơ chế lưu trữ, chuẩn hóa, kết nối dữ liệu; phân loại dữ liệu, phân quyền truy cập, xác thực, lưu vết khai thác dữ liệu và trách nhiệm bảo đảm an toàn thông tin, an ninh mạng, nhằm phòng ngừa nguy cơ lộ lọt dữ liệu, giả mạo, sửa đổi, hợp thức hóa dữ liệu truy xuất nguồn gốc, ảnh hưởng an ninh kinh tế và quyền, lợi ích hợp pháp của tổ chức, cá nhân.</w:t>
            </w:r>
          </w:p>
          <w:p w14:paraId="3C2DD061">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pacing w:val="3"/>
                <w:kern w:val="0"/>
                <w:sz w:val="26"/>
                <w:szCs w:val="26"/>
                <w14:ligatures w14:val="none"/>
              </w:rPr>
            </w:pPr>
            <w:r>
              <w:rPr>
                <w:rFonts w:hint="default" w:ascii="Times New Roman" w:hAnsi="Times New Roman" w:eastAsia="Times New Roman" w:cs="Times New Roman"/>
                <w:spacing w:val="3"/>
                <w:kern w:val="0"/>
                <w:sz w:val="26"/>
                <w:szCs w:val="26"/>
                <w:lang w:val="en-US"/>
                <w14:ligatures w14:val="none"/>
              </w:rPr>
              <w:t>- Q</w:t>
            </w:r>
            <w:r>
              <w:rPr>
                <w:rFonts w:hint="default" w:ascii="Times New Roman" w:hAnsi="Times New Roman" w:eastAsia="Times New Roman" w:cs="Times New Roman"/>
                <w:spacing w:val="3"/>
                <w:kern w:val="0"/>
                <w:sz w:val="26"/>
                <w:szCs w:val="26"/>
                <w14:ligatures w14:val="none"/>
              </w:rPr>
              <w:t xml:space="preserve">uy định về quản lý vùng nguyên liệu, truy xuất nguồn gốc, thị trường và chuỗi giá trị xuất khẩu tại khoản 3 Điều 4, Điều 5, Điều 9, Điều 13, Điều 14, khoản 3 Điều 20 và Điều 21 cần bổ sung cơ chế theo dõi, cảnh báo, chia sẻ thông tin và phối hợp kiểm soát rủi ro, nhằm phòng ngừa nguy cơ gian lận xuất xứ, gian lận mã vùng trồng, mã cơ sở đóng gói, gian lận truy xuất nguồn gốc, thao túng vùng nguyên liệu, đứt gãy chuỗi cung ứng, ảnh hưởng uy tín nông sản Việt Nam và an ninh kinh tế. </w:t>
            </w:r>
          </w:p>
          <w:p w14:paraId="5013E90D">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pacing w:val="3"/>
                <w:kern w:val="0"/>
                <w:sz w:val="26"/>
                <w:szCs w:val="26"/>
                <w:lang w:val="en-US" w:eastAsia="en-US"/>
                <w14:ligatures w14:val="none"/>
              </w:rPr>
            </w:pPr>
            <w:r>
              <w:rPr>
                <w:rFonts w:hint="default" w:ascii="Times New Roman" w:hAnsi="Times New Roman" w:eastAsia="Times New Roman" w:cs="Times New Roman"/>
                <w:spacing w:val="3"/>
                <w:kern w:val="0"/>
                <w:sz w:val="26"/>
                <w:szCs w:val="26"/>
                <w:lang w:val="en-US"/>
                <w14:ligatures w14:val="none"/>
              </w:rPr>
              <w:t>- Q</w:t>
            </w:r>
            <w:r>
              <w:rPr>
                <w:rFonts w:hint="default" w:ascii="Times New Roman" w:hAnsi="Times New Roman" w:eastAsia="Times New Roman" w:cs="Times New Roman"/>
                <w:spacing w:val="3"/>
                <w:kern w:val="0"/>
                <w:sz w:val="26"/>
                <w:szCs w:val="26"/>
                <w14:ligatures w14:val="none"/>
              </w:rPr>
              <w:t xml:space="preserve">uy định về xử lý vi phạm, thu hồi hỗ trợ, chia sẻ dữ liệu vì phạm và phối hợp liên ngành tại Điều 19, Điều 20 và Điều 21 cần bổ sung cơ chế phát hiện, chuyển giao, xử lý thông tin vi phạm và trách nhiệm phối hợp với Bộ Công an, Công an địa phương, nhằm bảo đảm tính răn đe, </w:t>
            </w:r>
            <w:r>
              <w:rPr>
                <w:rFonts w:hint="default" w:ascii="Times New Roman" w:hAnsi="Times New Roman" w:eastAsia="Times New Roman" w:cs="Times New Roman"/>
                <w:spacing w:val="3"/>
                <w:kern w:val="0"/>
                <w:sz w:val="26"/>
                <w:szCs w:val="26"/>
                <w:lang w:val="vi-VN"/>
                <w14:ligatures w14:val="none"/>
              </w:rPr>
              <w:t>phòng ngừa tội phạm, vi phạm pháp luật, tránh bỏ lọt hành vi vi phạm trong liên kết chuỗi giá trị nông nghiệp.</w:t>
            </w:r>
          </w:p>
        </w:tc>
        <w:tc>
          <w:tcPr>
            <w:tcW w:w="4567" w:type="dxa"/>
          </w:tcPr>
          <w:p w14:paraId="461569E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Nghị định này chỉ quy định ở mức nguyên tắc, việc quản lý kỹ thuật, tiêu chuẩn bảo mật và an toàn dữ liệu thực hiện theo pháp luật về dữ liệu, giao dịch điện tử, an toàn thông tin mạng và an ninh mạng.</w:t>
            </w:r>
            <w:r>
              <w:rPr>
                <w:rFonts w:hint="default" w:ascii="Times New Roman" w:hAnsi="Times New Roman" w:cs="Times New Roman"/>
                <w:sz w:val="26"/>
                <w:szCs w:val="26"/>
                <w:lang w:val="en-US"/>
              </w:rPr>
              <w:t xml:space="preserve"> Tuy nhiên, dự thảo bổ sung quy định theo hướng: hệ thống dữ liệu chuỗi giá trị nông nghiệp phải bảo đảm chuẩn hóa, kết nối, liên thông; phân loại dữ liệu, phân quyền truy cập, xác thực, lưu vết khai thác dữ liệu; bảo đảm an toàn thông tin, an ninh mạng theo quy định của pháp luật chuyên ngành.</w:t>
            </w:r>
          </w:p>
          <w:p w14:paraId="2118D24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đề nghị bổ sung cơ chế theo dõi, cảnh báo, chia sẻ thông tin và phối hợp kiểm soát rủi ro trong quản lý vùng nguyên liệu, truy xuất nguồn gốc, thị trường và chuỗi giá trị xuất khẩu.</w:t>
            </w:r>
          </w:p>
          <w:p w14:paraId="3C58A34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Dự thảo bổ sung nguyên tắc phối hợp liên ngành trong phát hiện, chuyển giao, xử lý thông tin vi phạm có dấu hiệu vi phạm pháp luật hình sự hoặc gian lận nghiêm trọng. Tuy nhiên, trách nhiệm cụ thể của Bộ Công an và công an địa phương thực hiện theo chức năng, nhiệm vụ và quy định của pháp luật chuyên ngành, tránh trùng lặp với quy định hiện hành.</w:t>
            </w:r>
          </w:p>
        </w:tc>
      </w:tr>
      <w:tr w14:paraId="25E4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720FF1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0286532">
            <w:pPr>
              <w:keepNext w:val="0"/>
              <w:keepLines w:val="0"/>
              <w:pageBreakBefore w:val="0"/>
              <w:numPr>
                <w:ilvl w:val="0"/>
                <w:numId w:val="4"/>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Bộ Nông nghiệp và Môi </w:t>
            </w:r>
            <w:r>
              <w:rPr>
                <w:rFonts w:hint="default" w:ascii="Times New Roman" w:hAnsi="Times New Roman" w:eastAsia="Times New Roman" w:cs="Times New Roman"/>
                <w:sz w:val="26"/>
                <w:szCs w:val="26"/>
                <w:lang w:val="vi-VN" w:eastAsia="vi-VN"/>
              </w:rPr>
              <w:t>trường</w:t>
            </w:r>
          </w:p>
        </w:tc>
        <w:tc>
          <w:tcPr>
            <w:tcW w:w="1898" w:type="dxa"/>
          </w:tcPr>
          <w:p w14:paraId="08BF2B7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Bộ </w:t>
            </w:r>
            <w:r>
              <w:rPr>
                <w:rFonts w:hint="default" w:ascii="Times New Roman" w:hAnsi="Times New Roman" w:cs="Times New Roman"/>
                <w:sz w:val="26"/>
                <w:szCs w:val="26"/>
              </w:rPr>
              <w:t>Khoa học Công nghệ</w:t>
            </w:r>
          </w:p>
        </w:tc>
        <w:tc>
          <w:tcPr>
            <w:tcW w:w="5475" w:type="dxa"/>
          </w:tcPr>
          <w:p w14:paraId="28F381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khoản 1 Điều 20 nội dung, xem xét bổ sung thành “Bộ Nông nghiệp và Môi trường chủ trì, phối hợp với các Bộ, ngành và cơ quan liên quan xây dựng, công bố danh mục công nghệ ưu tiên chuyển giao trong lĩnh vực nông nghiệp; ban hành hướng dẫn đánh giá hiệu quả chuyển giao công nghệ trong kế hoạch liên kết.”;</w:t>
            </w:r>
          </w:p>
        </w:tc>
        <w:tc>
          <w:tcPr>
            <w:tcW w:w="4567" w:type="dxa"/>
          </w:tcPr>
          <w:p w14:paraId="44FDC73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Dự thảo Nghị định tập trung vào cơ chế tổ chức liên kết, chính sách hỗ trợ và trách nhiệm quản lý nhà nước đối với phát triển liên kết chuỗi giá trị, không phải văn bản chuyên ngành điều chỉnh hoạt động khoa học công nghệ và chuyển giao công nghệ.</w:t>
            </w:r>
          </w:p>
          <w:p w14:paraId="20BDA15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Nội dung về hỗ trợ ứng dụng khoa học công nghệ, đổi mới sáng tạo, chuyển đổi số, chuyển đổi xanh; hỗ trợ tiếp cận, lựa chọn, chuyển giao công nghệ trong phát triển liên kết đã được quy định tại Điều 11 và Điều 14 của dự thảo Nghị định. Việc xây dựng, công bố danh mục công nghệ ưu tiên chuyển giao và hướng dẫn đánh giá hiệu quả chuyển giao công nghệ thuộc phạm vi quản lý chuyên ngành, được thực hiện theo quy định của pháp luật về khoa học và công nghệ, chuyển giao công nghệ và các chương trình, đề án chuyên ngành có liên quan.</w:t>
            </w:r>
          </w:p>
        </w:tc>
      </w:tr>
      <w:tr w14:paraId="0266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983885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F791BB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2. Bộ Tài chính</w:t>
            </w:r>
          </w:p>
        </w:tc>
        <w:tc>
          <w:tcPr>
            <w:tcW w:w="1898" w:type="dxa"/>
          </w:tcPr>
          <w:p w14:paraId="2429496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5475" w:type="dxa"/>
          </w:tcPr>
          <w:p w14:paraId="5EF1829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722B4E4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r>
      <w:tr w14:paraId="3C3B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580D2A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2EF802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3. Bộ Công thương</w:t>
            </w:r>
          </w:p>
        </w:tc>
        <w:tc>
          <w:tcPr>
            <w:tcW w:w="1898" w:type="dxa"/>
          </w:tcPr>
          <w:p w14:paraId="0914189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5475" w:type="dxa"/>
          </w:tcPr>
          <w:p w14:paraId="6300D43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31DB118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r>
      <w:tr w14:paraId="58A6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F66237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D54CFA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a) Chủ trì, phối hợp với Bộ Nông nghiệp và Môi trường hướng dẫn phát triển thị trường, hệ thống phân phối, xúc tiến thương mại đối với sản phẩm liên kết;</w:t>
            </w:r>
          </w:p>
        </w:tc>
        <w:tc>
          <w:tcPr>
            <w:tcW w:w="1898" w:type="dxa"/>
          </w:tcPr>
          <w:p w14:paraId="69AEEB9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Công thương</w:t>
            </w:r>
          </w:p>
        </w:tc>
        <w:tc>
          <w:tcPr>
            <w:tcW w:w="5475" w:type="dxa"/>
          </w:tcPr>
          <w:p w14:paraId="769018F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Đề nghị xem xét, chỉnh sửa làm rõ trách nhiệm của Bộ Công Thương trong việc thúc đẩy liên kết chuỗi giá trị nông nghiệp, cụ thể là liên kết giữa từ khâu cung ứng đầu vào, sản xuất, thu hoạch, đến chế biến đến tiêu thụ sản phẩm của chuỗi, thay vì phân công trách nhiệm của Bộ Công Thương tại một khâu cụ thể 3 của chuỗi như phân phối, phát triển thị trường, xúc tiến thương mại....tại dự thảo Nghị định.</w:t>
            </w:r>
          </w:p>
        </w:tc>
        <w:tc>
          <w:tcPr>
            <w:tcW w:w="4567" w:type="dxa"/>
          </w:tcPr>
          <w:p w14:paraId="111B1FF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Tiếp thu. </w:t>
            </w:r>
            <w:r>
              <w:rPr>
                <w:rFonts w:hint="default" w:ascii="Times New Roman" w:hAnsi="Times New Roman" w:cs="Times New Roman"/>
                <w:sz w:val="26"/>
                <w:szCs w:val="26"/>
              </w:rPr>
              <w:t>Dự thảo rà soát, điều chỉnh quy định trách nhiệm của Bộ Công Thương theo hướng không chỉ tập trung ở khâu thị trường, xúc tiến thương mại mà tăng cường vai trò phối hợp trong phát triển chuỗi giá trị từ cung ứng đầu vào, kết nối sản xuất, chế biến đến tiêu thụ sản phẩm, phù hợp chức năng quản lý nhà nước của Bộ Công Thương.</w:t>
            </w:r>
          </w:p>
        </w:tc>
      </w:tr>
      <w:tr w14:paraId="28DC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BADB78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3B392BB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b) Hỗ trợ kết nối cung cầu, phát triển thị trường trong nước và xuất khẩu đối với sản phẩm nông nghiệp theo chuỗi giá trị;</w:t>
            </w:r>
          </w:p>
        </w:tc>
        <w:tc>
          <w:tcPr>
            <w:tcW w:w="1898" w:type="dxa"/>
          </w:tcPr>
          <w:p w14:paraId="1B4FBFB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tỉnh Lào Cai</w:t>
            </w:r>
          </w:p>
        </w:tc>
        <w:tc>
          <w:tcPr>
            <w:tcW w:w="5475" w:type="dxa"/>
          </w:tcPr>
          <w:p w14:paraId="5D7B8A7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ề nghị sửa thành “b) Phối hợp với Bộ Nông nghiệp và Môi trường hỗ trợ kết nối cung cầu, phát triển thị trường trong nước và xuất khẩu đối với sản phẩm nông nghiệp theo chuỗi giá trị”</w:t>
            </w:r>
          </w:p>
        </w:tc>
        <w:tc>
          <w:tcPr>
            <w:tcW w:w="4567" w:type="dxa"/>
          </w:tcPr>
          <w:p w14:paraId="677C5BD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sửa thành: “Phối hợp với Bộ Nông nghiệp và Môi trường hỗ trợ kết nối cung cầu, phát triển thị trường trong nước và xuất khẩu đối với sản phẩm nông nghiệp theo chuỗi giá trị” nhằm bảo đảm phù hợp chức năng phối hợp liên ngành.</w:t>
            </w:r>
          </w:p>
        </w:tc>
      </w:tr>
      <w:tr w14:paraId="084F3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1E9E92C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487EEAA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c) Hướng dẫn, cung cấp thông tin thị trường, giá cả, tiêu chuẩn kỹ thuật, yêu cầu của thị trường trong nước và quốc tế cho các bên tham gia liên kết.</w:t>
            </w:r>
          </w:p>
        </w:tc>
        <w:tc>
          <w:tcPr>
            <w:tcW w:w="1898" w:type="dxa"/>
          </w:tcPr>
          <w:p w14:paraId="47FD221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Công thương</w:t>
            </w:r>
          </w:p>
        </w:tc>
        <w:tc>
          <w:tcPr>
            <w:tcW w:w="5475" w:type="dxa"/>
          </w:tcPr>
          <w:p w14:paraId="5512D91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ề nghị sửa lại như sau: Chủ trì trong việc cung cấp thông tin thị trường, giá cả của thị trường trong nước và quốc tế cho các bên tham gia liên kết; Phối hợp với Bộ Nông nghiệp và Môi trường trong việc hướng dẫn tiêu chuẩn kỹ thuật, yêu cầu của thị trường trong nước và quốc tế cho các bên tham gia liên kết.</w:t>
            </w:r>
          </w:p>
        </w:tc>
        <w:tc>
          <w:tcPr>
            <w:tcW w:w="4567" w:type="dxa"/>
          </w:tcPr>
          <w:p w14:paraId="4F1F8C1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Tiếp thu. </w:t>
            </w:r>
            <w:r>
              <w:rPr>
                <w:rFonts w:hint="default" w:ascii="Times New Roman" w:hAnsi="Times New Roman" w:cs="Times New Roman"/>
                <w:sz w:val="26"/>
                <w:szCs w:val="26"/>
              </w:rPr>
              <w:t>Dự thảo rà soát chỉnh sửa theo hướng phân định rõ trách nhiệm giữa Bộ Công Thương và Bộ Nông nghiệp và Môi trường, trong đó Bộ Công Thương chủ trì cung cấp thông tin thị trường, giá cả; Bộ Nông nghiệp và Môi trường chủ trì hoặc phối hợp hướng dẫn tiêu chuẩn kỹ thuật, yêu cầu kỹ thuật thị trường đối với sản phẩm nông nghiệp.</w:t>
            </w:r>
          </w:p>
        </w:tc>
      </w:tr>
      <w:tr w14:paraId="328D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74CE70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0B8E572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4. Ngân hàng Nhà nước Việt Nam: Chỉ đạo các tổ chức tín dụng triển khai chính sách tín dụng phục vụ phát triển liên kết chuỗi giá trị nông nghiệp bền vững theo quy định tại Nghị định này.</w:t>
            </w:r>
          </w:p>
        </w:tc>
        <w:tc>
          <w:tcPr>
            <w:tcW w:w="1898" w:type="dxa"/>
          </w:tcPr>
          <w:p w14:paraId="6EB3179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Ngân hàng Nhà nước Việt Nam</w:t>
            </w:r>
          </w:p>
        </w:tc>
        <w:tc>
          <w:tcPr>
            <w:tcW w:w="5475" w:type="dxa"/>
          </w:tcPr>
          <w:p w14:paraId="09407CB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Đề nghị b</w:t>
            </w:r>
            <w:r>
              <w:rPr>
                <w:rFonts w:hint="default" w:ascii="Times New Roman" w:hAnsi="Times New Roman" w:cs="Times New Roman"/>
                <w:sz w:val="26"/>
                <w:szCs w:val="26"/>
              </w:rPr>
              <w:t>ỏ nội dung</w:t>
            </w:r>
            <w:r>
              <w:rPr>
                <w:rFonts w:hint="default" w:ascii="Times New Roman" w:hAnsi="Times New Roman" w:cs="Times New Roman"/>
                <w:sz w:val="26"/>
                <w:szCs w:val="26"/>
                <w:lang w:val="vi-VN"/>
              </w:rPr>
              <w:t xml:space="preserve"> quy định trách nhiệm của NHNN</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“Chỉ đạo các tổ chức tín dụng triển khai chính sách tín dụng phục vụ phát triển liên kết chuỗi giá trị nông nghiệp bền vững theo quy định tại Nghị định này.”, do:</w:t>
            </w:r>
          </w:p>
          <w:p w14:paraId="09FD4BA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(i) NHNN đã trình Chính phủ ban hành 01 Nghị định riêng về chính sách tín dụng phục vụ phát triển nông nghiệp, nông thôn với các cơ chế, chính sách khuyến khích đối với sản xuất nông nghiệp theo mô hình liên kết, chuỗi giá trị như đã đề cập tại điểm 1 Công văn này;</w:t>
            </w:r>
          </w:p>
          <w:p w14:paraId="0998A1C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(ii) Theo Luật các Tổ chức tín dụng và các quy định hiện hành về cấp tín dụng, các tổ chức tín dụng có quyền tự chủ trong hoạt động kinh doanh và tự chịu trách nhiệm về kết quả hoạt động kinh doanh của mình. Về phía NHNN, trong phạm vi chức năng, nhiệm vụ được giao sẽ phối hợp với Bộ Nông nghiệp và Môi trường trong tổ chức triển khai Nghị định này theo quy định (đã được quy định chung tại khoản 6 Điều này)</w:t>
            </w:r>
            <w:r>
              <w:rPr>
                <w:rFonts w:hint="default" w:ascii="Times New Roman" w:hAnsi="Times New Roman" w:cs="Times New Roman"/>
                <w:vanish/>
                <w:sz w:val="26"/>
                <w:szCs w:val="26"/>
                <w:lang w:val="vi-VN"/>
              </w:rPr>
              <w:t>Top of FormBottom of Form</w:t>
            </w:r>
          </w:p>
          <w:p w14:paraId="679DB9B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4567" w:type="dxa"/>
          </w:tcPr>
          <w:p w14:paraId="28E9F5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sẽ bỏ quy định riêng đối với Ngân hàng Nhà nước Việt Nam tại khoản 4 Điều 20, do chính sách tín dụng phục vụ nông nghiệp, nông thôn và mô hình liên kết đã được điều chỉnh tại văn bản quy phạm pháp luật chuyên ngành; đồng thời việc phối hợp thực hiện được thực hiện theo quy định chung tại khoản về trách nhiệm của các bộ, cơ quan có liên quan.</w:t>
            </w:r>
          </w:p>
        </w:tc>
      </w:tr>
      <w:tr w14:paraId="36D8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81" w:type="dxa"/>
            <w:vMerge w:val="restart"/>
          </w:tcPr>
          <w:p w14:paraId="44E6B31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42958B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5. Liên minh Hợp tác xã Việt Nam</w:t>
            </w:r>
            <w:r>
              <w:rPr>
                <w:rFonts w:hint="default" w:ascii="Times New Roman" w:hAnsi="Times New Roman" w:eastAsia="Times New Roman" w:cs="Times New Roman"/>
                <w:sz w:val="26"/>
                <w:szCs w:val="26"/>
                <w:lang w:val="vi-VN" w:eastAsia="vi-VN"/>
              </w:rPr>
              <w:t xml:space="preserve"> </w:t>
            </w:r>
            <w:r>
              <w:rPr>
                <w:rFonts w:hint="default" w:ascii="Times New Roman" w:hAnsi="Times New Roman" w:eastAsia="Times New Roman" w:cs="Times New Roman"/>
                <w:sz w:val="26"/>
                <w:szCs w:val="26"/>
                <w:lang w:eastAsia="vi-VN"/>
              </w:rPr>
              <w:t>5. Liên minh Hợp tác xã Việt Nam</w:t>
            </w:r>
          </w:p>
        </w:tc>
        <w:tc>
          <w:tcPr>
            <w:tcW w:w="1898" w:type="dxa"/>
          </w:tcPr>
          <w:p w14:paraId="7E21D47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Tư pháp</w:t>
            </w:r>
          </w:p>
        </w:tc>
        <w:tc>
          <w:tcPr>
            <w:tcW w:w="5475" w:type="dxa"/>
          </w:tcPr>
          <w:p w14:paraId="72E20AD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Cs/>
                <w:iCs/>
                <w:sz w:val="26"/>
                <w:szCs w:val="26"/>
                <w:lang w:val="vi-VN"/>
              </w:rPr>
            </w:pPr>
            <w:r>
              <w:rPr>
                <w:rFonts w:hint="default" w:ascii="Times New Roman" w:hAnsi="Times New Roman" w:cs="Times New Roman"/>
                <w:bCs/>
                <w:iCs/>
                <w:sz w:val="26"/>
                <w:szCs w:val="26"/>
                <w:lang w:val="vi-VN"/>
              </w:rPr>
              <w:t xml:space="preserve">- Chỉnh lý nội dung để phù hợp với tên của điều, khoản, điểm tại dự thảo Nghị định. Ví dụ: Khoản 5 Điều 20 quy định trách nhiệm của Liên minh Hợp tác xã Việt Nam là chưa phù hợp với tên Điều 20 về “Trách nhiệm của các bộ, cơ quan ngang bộ”; </w:t>
            </w:r>
          </w:p>
        </w:tc>
        <w:tc>
          <w:tcPr>
            <w:tcW w:w="4567" w:type="dxa"/>
          </w:tcPr>
          <w:p w14:paraId="64C6B9F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4EF8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710A0B5">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F13B13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018125B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PTNT tỉnh Lào Cai</w:t>
            </w:r>
          </w:p>
        </w:tc>
        <w:tc>
          <w:tcPr>
            <w:tcW w:w="5475" w:type="dxa"/>
          </w:tcPr>
          <w:p w14:paraId="529024C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bCs/>
                <w:iCs/>
                <w:sz w:val="26"/>
                <w:szCs w:val="26"/>
                <w:lang w:val="vi-VN"/>
              </w:rPr>
              <w:t xml:space="preserve">Về </w:t>
            </w:r>
            <w:r>
              <w:rPr>
                <w:rFonts w:hint="default" w:ascii="Times New Roman" w:hAnsi="Times New Roman" w:cs="Times New Roman"/>
                <w:sz w:val="26"/>
                <w:szCs w:val="26"/>
                <w:lang w:val="vi-VN"/>
              </w:rPr>
              <w:t>vai trò của Hợp tác xã và Liên minh</w:t>
            </w:r>
            <w:r>
              <w:rPr>
                <w:rFonts w:hint="default" w:ascii="Times New Roman" w:hAnsi="Times New Roman" w:cs="Times New Roman"/>
                <w:b/>
                <w:bCs/>
                <w:sz w:val="26"/>
                <w:szCs w:val="26"/>
                <w:lang w:val="vi-VN"/>
              </w:rPr>
              <w:t xml:space="preserve"> </w:t>
            </w:r>
            <w:r>
              <w:rPr>
                <w:rFonts w:hint="default" w:ascii="Times New Roman" w:hAnsi="Times New Roman" w:cs="Times New Roman"/>
                <w:sz w:val="26"/>
                <w:szCs w:val="26"/>
                <w:lang w:val="vi-VN"/>
              </w:rPr>
              <w:t>HTX (Điều 5, Điều 20 của dự thảo): Đề xuất bổ sung: Để phát huy vai trò Liên minh Hợp tác xã cấp tỉnh/thành phố, đề nghị quy định rõ hơn trách nhiệm của Liên minh HTX cấp tỉnh/phố trong việc thẩm định hoặc có ý kiến chuyên môn đối với các Kế hoạch liên kết do HTX làm chủ trì trước khi trình UBND cấp xã/tỉnh phê duyệt. Điều này giúp đảm bảo tính khả thi của kế hoạch và bảo vệ quyền lợi cho các HTX thành viên.</w:t>
            </w:r>
          </w:p>
        </w:tc>
        <w:tc>
          <w:tcPr>
            <w:tcW w:w="4567" w:type="dxa"/>
          </w:tcPr>
          <w:p w14:paraId="7EDF136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K</w:t>
            </w:r>
            <w:r>
              <w:rPr>
                <w:rFonts w:hint="default" w:ascii="Times New Roman" w:hAnsi="Times New Roman" w:cs="Times New Roman"/>
                <w:sz w:val="26"/>
                <w:szCs w:val="26"/>
              </w:rPr>
              <w:t>hông quy định là thủ tục bắt buộc trong hồ sơ thẩm định nhằm tránh phát sinh thủ tục hành chính, kéo dài thời gian phê duyệt.</w:t>
            </w:r>
          </w:p>
        </w:tc>
      </w:tr>
      <w:tr w14:paraId="2836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0D2A8C9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45FBC4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57C666E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Liên minh HTX</w:t>
            </w:r>
            <w:r>
              <w:rPr>
                <w:rFonts w:hint="default" w:ascii="Times New Roman" w:hAnsi="Times New Roman" w:cs="Times New Roman"/>
                <w:sz w:val="26"/>
                <w:szCs w:val="26"/>
                <w:lang w:val="en-US"/>
              </w:rPr>
              <w:t xml:space="preserve"> Việt Nam</w:t>
            </w:r>
          </w:p>
        </w:tc>
        <w:tc>
          <w:tcPr>
            <w:tcW w:w="5475" w:type="dxa"/>
          </w:tcPr>
          <w:p w14:paraId="6E9A4729">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rPr>
              <w:t xml:space="preserve">Đề nghị chỉnh sửa theo hướng quy định rõ trách nhiệm của hệ thống Liên minh Hợp tác xã Việt Nam, bao gồm Liên minh Hợp tác xã Việt Nam ở Trung ương và Liên minh Hợp tác xã cấp tỉnh: tuyên truyền chính sách; tư vấn, hỗ trợ hợp tác xã, liên hiệp hợp tác xã xây dựng hợp đồng, kế hoạch liên kết; đào tạo quản trị chuỗi, truy xuất nguồn gốc, chuyển đổi số, xúc tiến thương mại; tổng hợp khó khăn, vướng mắc; đại diện, bảo vệ quyền và lợi ích hợp pháp của hợp tác xã, liên hiệp hợp tác xã và thành viên </w:t>
            </w:r>
            <w:r>
              <w:rPr>
                <w:rFonts w:hint="default" w:ascii="Times New Roman" w:hAnsi="Times New Roman" w:cs="Times New Roman"/>
                <w:color w:val="auto"/>
                <w:sz w:val="26"/>
                <w:szCs w:val="26"/>
                <w:lang w:val="en-US"/>
              </w:rPr>
              <w:t>.</w:t>
            </w:r>
          </w:p>
          <w:p w14:paraId="716587F9">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color w:val="auto"/>
                <w:sz w:val="26"/>
                <w:szCs w:val="26"/>
                <w:lang w:val="en-US"/>
              </w:rPr>
              <w:t xml:space="preserve">Lý do: </w:t>
            </w:r>
            <w:r>
              <w:rPr>
                <w:rFonts w:hint="default" w:ascii="Times New Roman" w:hAnsi="Times New Roman" w:cs="Times New Roman"/>
                <w:color w:val="auto"/>
                <w:sz w:val="26"/>
                <w:szCs w:val="26"/>
              </w:rPr>
              <w:t>Phù hợp vai trò của hệ thống Liên minh Hợp tác xã Việt Nam và thực tiễn hỗ trợ hợp tác xã tại địa phương.</w:t>
            </w:r>
          </w:p>
        </w:tc>
        <w:tc>
          <w:tcPr>
            <w:tcW w:w="4567" w:type="dxa"/>
          </w:tcPr>
          <w:p w14:paraId="5F1E4B2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 Dự thảo sẽ chỉnh lý theo hướng quy định rõ trách nhiệm của hệ thống Liên minh Hợp tác xã Việt Nam, bao gồm Liên minh Hợp tác xã Việt Nam ở Trung ương và Liên minh Hợp tác xã cấp tỉnh trong tuyên truyền chính sách; tư vấn, hỗ trợ hợp tác xã xây dựng hợp đồng, dự án liên kết; đào tạo quản trị chuỗi, truy xuất nguồn gốc, chuyển đổi số, xúc tiến thương mại; tổng hợp khó khăn, vướng mắc; đại diện, bảo vệ quyền và lợi ích hợp pháp của hợp tác xã, liên hiệp hợp tác xã và thành viên.</w:t>
            </w:r>
          </w:p>
        </w:tc>
      </w:tr>
      <w:tr w14:paraId="4A9F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41F030C8">
            <w:pPr>
              <w:pStyle w:val="36"/>
              <w:keepNext w:val="0"/>
              <w:keepLines w:val="0"/>
              <w:pageBreakBefore w:val="0"/>
              <w:numPr>
                <w:ilvl w:val="0"/>
                <w:numId w:val="1"/>
              </w:numPr>
              <w:kinsoku/>
              <w:wordWrap/>
              <w:overflowPunct/>
              <w:topLinePunct w:val="0"/>
              <w:bidi w:val="0"/>
              <w:snapToGrid/>
              <w:spacing w:beforeAutospacing="0" w:after="0" w:afterAutospacing="0" w:line="240" w:lineRule="auto"/>
              <w:ind w:left="527" w:hanging="357"/>
              <w:contextualSpacing w:val="0"/>
              <w:jc w:val="both"/>
              <w:textAlignment w:val="auto"/>
              <w:rPr>
                <w:rFonts w:hint="default" w:ascii="Times New Roman" w:hAnsi="Times New Roman" w:cs="Times New Roman"/>
                <w:sz w:val="26"/>
                <w:szCs w:val="26"/>
                <w:lang w:val="vi-VN"/>
              </w:rPr>
            </w:pPr>
          </w:p>
        </w:tc>
        <w:tc>
          <w:tcPr>
            <w:tcW w:w="2646" w:type="dxa"/>
          </w:tcPr>
          <w:p w14:paraId="368C432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lang w:val="vi-VN"/>
              </w:rPr>
              <w:t xml:space="preserve">Điều 21. </w:t>
            </w:r>
            <w:r>
              <w:rPr>
                <w:rFonts w:hint="default" w:ascii="Times New Roman" w:hAnsi="Times New Roman" w:cs="Times New Roman"/>
                <w:b/>
                <w:bCs/>
                <w:sz w:val="26"/>
                <w:szCs w:val="26"/>
              </w:rPr>
              <w:t xml:space="preserve">Trách nhiệm của UBND cấp tỉnh </w:t>
            </w:r>
          </w:p>
        </w:tc>
        <w:tc>
          <w:tcPr>
            <w:tcW w:w="1898" w:type="dxa"/>
          </w:tcPr>
          <w:p w14:paraId="3DF9B2A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Bộ Tư pháp; </w:t>
            </w:r>
            <w:r>
              <w:rPr>
                <w:rFonts w:hint="default" w:ascii="Times New Roman" w:hAnsi="Times New Roman" w:cs="Times New Roman"/>
                <w:sz w:val="26"/>
                <w:szCs w:val="26"/>
              </w:rPr>
              <w:t>Bộ Nội vụ; Sở Nông nghiệp và Môi trường tỉnh Lai Châu</w:t>
            </w:r>
          </w:p>
        </w:tc>
        <w:tc>
          <w:tcPr>
            <w:tcW w:w="5475" w:type="dxa"/>
          </w:tcPr>
          <w:p w14:paraId="4FCCE6D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Tên điều quy định về trách nhiệm của Ủy ban nhân dân cấp tỉnh, nhưng nội dung bao gồm quy định trách nhiệm của Chủ tịch Ủy ban nhân dân cấp tỉnh, bố cục nội dung của điều thành hai khoản quy định rõ trách nhiệm của Ủy ban nhân dân cấp tỉnh, Chủ tịch Ủy ban nhân dân cấp tỉnh.</w:t>
            </w:r>
          </w:p>
          <w:p w14:paraId="2F473E9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Đề nghị rà soát quy định về phân cấp thẩm quyền tại dự thảo Nghị định để quy định cho phù hợp, thống nhất với quy định tại Nghị định số 136/2025/NĐ-CP ngày 12/6/2025 của Chính phủ về phân quyền, phân cấp trong lĩnh vực nông nghiệp và môi trường. Đẩy mạnh phân cấp cho chính quyền địa phương những nhiệm vụ quản lý ngành gắn trực tiếp với địa bàn quản lý mà chính quyền địa phương có thể thực hiện tốt; bảo đảm phù hợp với nhiệm vụ, quyền hạn và năng lực của cơ quan, người có thẩm quyền thực hiện nhiệm vụ, quyền hạn được phân định. Việc quy định phân cấp thẩm quyền bảo đảm phù hợp với nguyên tắc phân quyền, phân cấp quy định tại Luật Tổ chức Chính phủ năm 2025, Luật Tổ chức chính quyền địa phương số 72/2025/QH15, cần tính đến việc bảo đảm các nguồn lực, điều kiện thực hiện; sửa đổi, bổ sung, điều chỉnh các thủ tục hành chính có liên quan để bảo đảm đồng bộ, thống nhất và thuận lợi cho chính quyền địa phương các cấp khi triển khai thực hiện.</w:t>
            </w:r>
          </w:p>
        </w:tc>
        <w:tc>
          <w:tcPr>
            <w:tcW w:w="4567" w:type="dxa"/>
          </w:tcPr>
          <w:p w14:paraId="5B3991E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 Tiếp thu. B</w:t>
            </w:r>
            <w:r>
              <w:rPr>
                <w:rFonts w:hint="default" w:ascii="Times New Roman" w:hAnsi="Times New Roman" w:cs="Times New Roman"/>
                <w:sz w:val="26"/>
                <w:szCs w:val="26"/>
                <w:lang w:val="vi-VN"/>
              </w:rPr>
              <w:t>ố cục nội dung của điều thành hai khoản quy định rõ trách nhiệm của Ủy ban nhân dân cấp tỉnh, Chủ tịch Ủy ban nhân dân cấp tỉnh.</w:t>
            </w:r>
          </w:p>
          <w:p w14:paraId="3A21B60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Cơ quan soạn thảo đã rà soát toàn bộ các quy định về phân cấp, phân quyền trong dự thảo Nghị định để bảo đảm thống nhất với Nghị định số 136/2025/NĐ-CP, Luật Tổ chức Chính phủ năm 2025 và Luật Tổ chức chính quyền địa phương năm 2025; đồng thời đẩy mạnh phân cấp cho địa phương đối với các nhiệm vụ quản lý gắn trực tiếp với địa bàn, bảo đảm phù hợp với năng lực tổ chức thực hiện, nguồn lực, điều kiện thực hiện và thủ tục hành chính có liên quan.</w:t>
            </w:r>
          </w:p>
        </w:tc>
      </w:tr>
      <w:tr w14:paraId="5068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420603D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7BCEA99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424D1F8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Thanh tra Chính phủ</w:t>
            </w:r>
          </w:p>
        </w:tc>
        <w:tc>
          <w:tcPr>
            <w:tcW w:w="5475" w:type="dxa"/>
          </w:tcPr>
          <w:p w14:paraId="23BF933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Đề nghị đơn vị soạn thảo bổ sung nhiệm vụ “thanh tra” vào Điều 21 của dự thảo Nghị định quy định về trách nhiệm của UBND cấp tỉnh nhằm thực hiện đầy đủ nhiệm vụ, quyền hạn của UBND cấp tỉnh theo quy định. </w:t>
            </w:r>
          </w:p>
        </w:tc>
        <w:tc>
          <w:tcPr>
            <w:tcW w:w="4567" w:type="dxa"/>
          </w:tcPr>
          <w:p w14:paraId="077FE45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Đ</w:t>
            </w:r>
            <w:r>
              <w:rPr>
                <w:rFonts w:hint="default" w:ascii="Times New Roman" w:hAnsi="Times New Roman" w:cs="Times New Roman"/>
                <w:sz w:val="26"/>
                <w:szCs w:val="26"/>
                <w:lang w:val="vi-VN"/>
              </w:rPr>
              <w:t xml:space="preserve">ể bảo đảm thống nhất với quy định của pháp luật về thanh tra và tránh trùng lặp chức năng, nhiệm vụ đã được quy định trong pháp luật chuyên ngành, dự thảo </w:t>
            </w:r>
            <w:r>
              <w:rPr>
                <w:rFonts w:hint="default" w:ascii="Times New Roman" w:hAnsi="Times New Roman" w:cs="Times New Roman"/>
                <w:sz w:val="26"/>
                <w:szCs w:val="26"/>
                <w:lang w:val="en-US"/>
              </w:rPr>
              <w:t>đã</w:t>
            </w:r>
            <w:r>
              <w:rPr>
                <w:rFonts w:hint="default" w:ascii="Times New Roman" w:hAnsi="Times New Roman" w:cs="Times New Roman"/>
                <w:sz w:val="26"/>
                <w:szCs w:val="26"/>
                <w:lang w:val="vi-VN"/>
              </w:rPr>
              <w:t xml:space="preserve"> chỉnh lý theo hướng bổ sung nội dung “kiểm tra, giám sát, xử lý vi phạm theo thẩm quyền” thay vì quy định riêng nhiệm vụ “thanh tra”.</w:t>
            </w:r>
          </w:p>
        </w:tc>
      </w:tr>
      <w:tr w14:paraId="6AFF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31BF4D9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13109C8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7F51DED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Vĩnh Long; Tuyên Quang</w:t>
            </w:r>
          </w:p>
        </w:tc>
        <w:tc>
          <w:tcPr>
            <w:tcW w:w="5475" w:type="dxa"/>
          </w:tcPr>
          <w:p w14:paraId="59E3B6E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Góp ý về phân cấp phân quyền và thẩm định phê duyệt: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chưa có nội dung quy định rõ trách nhiệm của Ủy ban nhân dân cấp xã trong tổ chức thực hiện liên kết chuỗi giá trị. Việc quy định rõ trách nhiệm sẽ giúp cấp xã có cơ sở pháp lý để chủ động triển khai, tránh tình trạng bị động trong quá trình thực hiện. </w:t>
            </w:r>
          </w:p>
          <w:p w14:paraId="27CAEB9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bổ sung một khoản riêng quy định trách nhiệm của Ủy ban nhân dân cấp xã, tập trung vào các nội dung: Tổ chức tuyên truyền, vận động nông dân, hợp tác xã tham gia liên kết; Xác nhận, theo dõi vùng nguyên liệu trên địa bàn; Giám sát việc thực hiện hợp đồng liên kết; Hỗ trợ hòa giải tranh chấp phát sinh ban đầu; Tổng hợp, báo cáo tình hình thực hiện liên kết định kỳ.</w:t>
            </w:r>
          </w:p>
          <w:p w14:paraId="02DF3C0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Xem xét bổ sung cụ thể trong Nghị định quy định phân cấp quản lý: Liên kết thuộc cấp tỉnh quản lý thực hiện trên phạm vi địa bàn 02 xã trở lên và liên kết thuộc cấp xã quản lý thực hiện trong phạm vi địa bàn 01 xã, để giảm bớt thủ tục thực hiện phân cấp ở địa phương.</w:t>
            </w:r>
          </w:p>
        </w:tc>
        <w:tc>
          <w:tcPr>
            <w:tcW w:w="4567" w:type="dxa"/>
          </w:tcPr>
          <w:p w14:paraId="72FED0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Về quy định rõ trách nhiệm của Ủy ban nhân dân cấp xã: Không tiếp thu.</w:t>
            </w:r>
          </w:p>
          <w:p w14:paraId="35C1C4C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Dự thảo Nghị định đã quy định thẩm quyền của Chủ tịch Ủy ban nhân dân cấp xã trong phê duyệt kế hoạch liên kết, nội dung hỗ trợ liên kết và trình tự, thủ tục thực hiện đối với các liên kết thuộc phạm vi được phân cấp. Theo đó, trách nhiệm tổ chức thực hiện của cấp xã được xác lập thông qua cơ chế phân cấp, phân quyền và thực hiện nhiệm vụ quản lý nhà nước theo quy định của pháp luật về tổ chức chính quyền địa phương.</w:t>
            </w:r>
          </w:p>
          <w:p w14:paraId="490F4CB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Việc quy định riêng, chi tiết trách nhiệm của Ủy ban nhân dân cấp xã trong Nghị định dẫn đến trùng lặp với quy định của pháp luật về tổ chức chính quyền địa phương.</w:t>
            </w:r>
          </w:p>
          <w:p w14:paraId="1947EB9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ý kiến đề nghị quy định cụ thể phạm vi phân cấp: liên kết liên xã thuộc cấp tỉnh, liên kết trong phạm vi 01 xã thuộc cấp xã. Đã bổ sung nội dung phân cấp tại Điều 16.</w:t>
            </w:r>
          </w:p>
        </w:tc>
      </w:tr>
      <w:tr w14:paraId="59CDA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07B7324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3DB3C18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48032D0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Sở Nông nghiêp và Môi trường tình Sơn La</w:t>
            </w:r>
          </w:p>
        </w:tc>
        <w:tc>
          <w:tcPr>
            <w:tcW w:w="5475" w:type="dxa"/>
          </w:tcPr>
          <w:p w14:paraId="1D7A8BA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Làm rõ thẩm quyền giữa UBND tỉnh và Chủ tịch UBND tỉnh</w:t>
            </w:r>
          </w:p>
        </w:tc>
        <w:tc>
          <w:tcPr>
            <w:tcW w:w="4567" w:type="dxa"/>
          </w:tcPr>
          <w:p w14:paraId="0B821E1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bổ sung, quy định rõ Trách nhiệm của Ủy ban nhân dân cấp tỉnh, Chủ tịch Ủy ban nhân dân cấp tỉnh (Điều 25)</w:t>
            </w:r>
          </w:p>
        </w:tc>
      </w:tr>
      <w:tr w14:paraId="17F6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781" w:type="dxa"/>
            <w:vMerge w:val="restart"/>
          </w:tcPr>
          <w:p w14:paraId="01DBFB9A">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24BBB6D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lang w:eastAsia="vi-VN"/>
              </w:rPr>
              <w:t>2. Xác định, phê duyệt danh mục ngành hàng, sản phẩm chủ lực, sản phẩm ưu tiên phát triển liên kết chuỗi giá trị; danh mục các vùng nguyên liệu nông nghiệp; công bố công khai theo quy định pháp luật. Căn cứ tiêu chí do Bộ Nông nghiệp và Môi trường ban hành để quy định cụ thể tiêu chí vùng nguyên liệu trên địa bàn và tổ chức đánh giá, công nhận.</w:t>
            </w:r>
          </w:p>
        </w:tc>
        <w:tc>
          <w:tcPr>
            <w:tcW w:w="1898" w:type="dxa"/>
          </w:tcPr>
          <w:p w14:paraId="7B68860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Tuyên Quang</w:t>
            </w:r>
          </w:p>
          <w:p w14:paraId="5061A7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4D74F35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Đề nghị Bỏ khoản </w:t>
            </w:r>
            <w:r>
              <w:rPr>
                <w:rFonts w:hint="default" w:ascii="Times New Roman" w:hAnsi="Times New Roman" w:cs="Times New Roman"/>
                <w:sz w:val="26"/>
                <w:szCs w:val="26"/>
                <w:lang w:val="vi-VN"/>
              </w:rPr>
              <w:t>2, khoản 3</w:t>
            </w:r>
            <w:r>
              <w:rPr>
                <w:rFonts w:hint="default" w:ascii="Times New Roman" w:hAnsi="Times New Roman" w:cs="Times New Roman"/>
                <w:sz w:val="26"/>
                <w:szCs w:val="26"/>
              </w:rPr>
              <w:t xml:space="preserve"> Điều 21. Lý do: Đối với cấp tỉnh sau đại hội đảng bộ các cấp đã ban hành Kế hoạch phát triển kinh tế-xã hội trên địa bàn toàn tỉnh đảm bảo phù hợp với quy hoạch tỉnh; tỉnh cũng xây dựng kế hoạch hoặc đề án phát triển sản xuất nông nghiệp hàng hóa, xác định lựa chọn những cây trồng, vật nuôi chủ lực, đặc trưng, đặc sản địa phương để nâng cao giá trị, nâng cao thu nhập cho người dân phù hợp với từng giai đoạn phát triển, phù hợp với xu hướng và nhu cầu thị trường. Việc quy định UBND tỉnh xác định, phê duyệt danh mục ngành hàng sản phẩm chủ lực, sản phẩm ưu tiên là không cần thiết quy định trong dự thảo Nghị định này; nếu quy định sẽ tạo ra điều kiện bắt buộc phải ban hành thêm nhiều văn bản hành chính nữa mới triển khai được chính sách hỗ trợ</w:t>
            </w:r>
            <w:r>
              <w:rPr>
                <w:rFonts w:hint="default" w:ascii="Times New Roman" w:hAnsi="Times New Roman" w:cs="Times New Roman"/>
                <w:sz w:val="26"/>
                <w:szCs w:val="26"/>
                <w:lang w:val="en-US"/>
              </w:rPr>
              <w:t>.</w:t>
            </w:r>
          </w:p>
        </w:tc>
        <w:tc>
          <w:tcPr>
            <w:tcW w:w="4567" w:type="dxa"/>
          </w:tcPr>
          <w:p w14:paraId="3774341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V</w:t>
            </w:r>
            <w:r>
              <w:rPr>
                <w:rFonts w:hint="default" w:ascii="Times New Roman" w:hAnsi="Times New Roman" w:cs="Times New Roman"/>
                <w:sz w:val="26"/>
                <w:szCs w:val="26"/>
                <w:lang w:val="vi-VN"/>
              </w:rPr>
              <w:t xml:space="preserve">iệc xác định ngành hàng, sản phẩm ưu tiên và vùng nguyên liệu nhằm tạo cơ sở định hướng tập trung nguồn lực, tránh dàn trải trong hỗ trợ phát triển liên kết chuỗi giá trị. </w:t>
            </w:r>
          </w:p>
          <w:p w14:paraId="7137A79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Tuy nhiên, để tránh phát sinh thủ tục hành chính và văn bản mới không cần thiết, dự thảo sẽ chỉnh lý theo hướng không yêu cầu địa phương ban hành danh mục riêng, mà thực hiện trên cơ sở quy hoạch tỉnh, kế hoạch phát triển kinh tế - xã hội, định hướng ngành hàng và các chương trình, đề án phát triển sản xuất nông nghiệp hiện có của địa phương.</w:t>
            </w:r>
          </w:p>
        </w:tc>
      </w:tr>
      <w:tr w14:paraId="1589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4C7CE52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62693AD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5B95AE8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Công Thương</w:t>
            </w:r>
          </w:p>
        </w:tc>
        <w:tc>
          <w:tcPr>
            <w:tcW w:w="5475" w:type="dxa"/>
            <w:shd w:val="clear" w:color="auto" w:fill="auto"/>
            <w:vAlign w:val="top"/>
          </w:tcPr>
          <w:p w14:paraId="246297B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color w:val="auto"/>
                <w:kern w:val="2"/>
                <w:sz w:val="26"/>
                <w:szCs w:val="26"/>
                <w:lang w:val="en-US" w:eastAsia="en-US" w:bidi="ar-SA"/>
                <w14:ligatures w14:val="standardContextual"/>
              </w:rPr>
            </w:pPr>
            <w:r>
              <w:rPr>
                <w:rFonts w:hint="default" w:ascii="Times New Roman" w:hAnsi="Times New Roman" w:cs="Times New Roman"/>
                <w:color w:val="auto"/>
                <w:sz w:val="26"/>
                <w:szCs w:val="26"/>
              </w:rPr>
              <w:t>tại khoản 2 Điều 21 quy định "Ủy ban nhân dân xác định, phê duyệt danh mục ngành hàng, sản phẩm chủ lực, sản phẩm ưu tiên phát triển liên kết chuỗi giái trị”. Do vậy, đề nghị làm rõ nội hàm và thống nhất thực hiện nội dung này để xác định rõ trách nhiệm và đối tượng hỗ trợ.</w:t>
            </w:r>
          </w:p>
        </w:tc>
        <w:tc>
          <w:tcPr>
            <w:tcW w:w="4567" w:type="dxa"/>
          </w:tcPr>
          <w:p w14:paraId="6F4C7CE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rPr>
            </w:pPr>
            <w:r>
              <w:rPr>
                <w:rFonts w:hint="default" w:ascii="Times New Roman" w:hAnsi="Times New Roman" w:cs="Times New Roman"/>
                <w:color w:val="auto"/>
                <w:sz w:val="26"/>
                <w:szCs w:val="26"/>
                <w:lang w:val="vi-VN"/>
              </w:rPr>
              <w:t>Tiếp thu. Dự thảo đã rà soát, chỉnh lý khoản 2 Điều 22 theo hướng làm rõ trách nhiệm của Ủy ban nhân dân cấp tỉnh trong việc xác định ngành hàng, sản phẩm ưu tiên phát triển liên kết chuỗi giá trị và vùng ưu tiên phát triển vùng nguyên liệu nông nghiệp gắn với liên kết chuỗi giá trị trên cơ sở quy hoạch tỉnh, định hướng phát triển ngành hàng, điều kiện thực tiễn và nhu cầu thị trường. Đồng thời, làm rõ đây là căn cứ để ưu tiên bố trí nguồn lực hỗ trợ trên địa bàn, bảo đảm thống nhất trong tổ chức thực hiện và xác định đối tượng ưu tiên hỗ trợ.</w:t>
            </w:r>
          </w:p>
        </w:tc>
      </w:tr>
      <w:tr w14:paraId="1138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trPr>
        <w:tc>
          <w:tcPr>
            <w:tcW w:w="781" w:type="dxa"/>
            <w:vMerge w:val="restart"/>
            <w:tcBorders>
              <w:bottom w:val="single" w:color="auto" w:sz="4" w:space="0"/>
            </w:tcBorders>
          </w:tcPr>
          <w:p w14:paraId="3B5EA246">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Borders>
              <w:bottom w:val="single" w:color="auto" w:sz="4" w:space="0"/>
            </w:tcBorders>
          </w:tcPr>
          <w:p w14:paraId="53ED87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3. Ban hành theo thẩm quyền hoặc trình Hội đồng nhân dân cấp tỉnh: ban hành kế hoạch, chính sách phát triển liên kết chuỗi giá trị và vùng nguyên liệu nông sản trên địa bàn toàn tỉnh phù hợp với điều kiện địa phương; quy định phân cấp cho Chủ tịch Ủy ban nhân dân cấp tỉnh phê duyệt kế hoạch và nội dung liên kết có quy mô liên xã hoặc theo quy mô đầu tư, hỗ trợ liên kết từ nguồn vốn ngân sách nhà nước, phù hợp với điều kiện của địa phương theo quy định.</w:t>
            </w:r>
          </w:p>
          <w:p w14:paraId="02E54B5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Borders>
              <w:bottom w:val="single" w:color="auto" w:sz="4" w:space="0"/>
            </w:tcBorders>
          </w:tcPr>
          <w:p w14:paraId="3188864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Bộ Nội </w:t>
            </w:r>
            <w:r>
              <w:rPr>
                <w:rFonts w:hint="default" w:ascii="Times New Roman" w:hAnsi="Times New Roman" w:cs="Times New Roman"/>
                <w:sz w:val="26"/>
                <w:szCs w:val="26"/>
                <w:lang w:val="vi-VN"/>
              </w:rPr>
              <w:t>vụ; ; Sở Nông Nghiệp và Môi trường tỉnh Bắc Ninh</w:t>
            </w:r>
          </w:p>
        </w:tc>
        <w:tc>
          <w:tcPr>
            <w:tcW w:w="5475" w:type="dxa"/>
            <w:tcBorders>
              <w:bottom w:val="single" w:color="auto" w:sz="4" w:space="0"/>
            </w:tcBorders>
          </w:tcPr>
          <w:p w14:paraId="5EDE0D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Đề nghị đơn vị soản thảo </w:t>
            </w:r>
            <w:r>
              <w:rPr>
                <w:rFonts w:hint="default" w:ascii="Times New Roman" w:hAnsi="Times New Roman" w:cs="Times New Roman"/>
                <w:sz w:val="26"/>
                <w:szCs w:val="26"/>
                <w:lang w:val="vi-VN"/>
              </w:rPr>
              <w:t>rà soát quy định</w:t>
            </w:r>
            <w:r>
              <w:rPr>
                <w:rFonts w:hint="default" w:ascii="Times New Roman" w:hAnsi="Times New Roman" w:cs="Times New Roman"/>
                <w:sz w:val="26"/>
                <w:szCs w:val="26"/>
              </w:rPr>
              <w:t xml:space="preserve"> “quy định phân cấp cho Chủ tịch Ủy ban nhân dân cấp tỉnh phê duyệt kế hoạch và nội dung liên kết có quy mô liên xã hoặc theo quy mô đầu tư, hỗ trợ liên kết từ nguồn vốn ngân sách nhà nước, phù hợp với điều kiện của địa phương theo quy định”. </w:t>
            </w:r>
          </w:p>
          <w:p w14:paraId="65738D2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Lý do: “UBND tỉnh quy định phân cấp cho chủ tịch UBND tỉnh” là không phù hợp về phân cấp quy định tại khoản 1 Điều 13 Luật Tổ chức chính quyền địa phương số 72/2025/QH15, theo đó Luật quy định “Ủy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p>
          <w:p w14:paraId="5D9314D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rà soát quy định về phân cấp thẩm quyền tại dự thảo Nghị định để quy định cho phù hợp, thống nhất với quy định tại Nghị định số 136/2025/NĐ-CP ngày 12/6/2025 của Chính phủ về phân quyền, phân cấp trong lĩnh vực nông nghiệp và môi trường. Đẩy mạnh phân cấp cho chính quyền địa phương những nhiệm vụ quản lý ngành gắn trực tiếp với địa bàn quản lý mà chính quyền địa phương có thể thực hiện tốt; bảo đảm phù hợp với nhiệm vụ, quyền hạn và năng lực của cơ quan, người có thẩm quyền thực hiện nhiệm vụ, quyền hạn được phân định. Việc quy định phân cấp thẩm quyền bảo đảm phù hợp với nguyên tắc phân quyền, phân cấp quy định tại Luật Tổ chức Chính phủ năm 2025, Luật Tổ chức chính quyền địa phương số 72/2025/QH15, cần tính đến việc bảo đảm các nguồn lực , điều kiện thực hiện ; sửa đổi, bổ sung, điều chỉnh các thủ tục hành chính có liên quan để bảo đảm đồng bộ, thống nhất và thuận lợi cho chính quyền địa phương các cấp khi triển khai thực hiện</w:t>
            </w:r>
          </w:p>
        </w:tc>
        <w:tc>
          <w:tcPr>
            <w:tcW w:w="4567" w:type="dxa"/>
            <w:tcBorders>
              <w:bottom w:val="single" w:color="auto" w:sz="4" w:space="0"/>
            </w:tcBorders>
          </w:tcPr>
          <w:p w14:paraId="6E92CF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Tiếp thu.</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Dự thảo sửa theo hướng quy định rõ Ủy ban nhân dân cấp tỉnh hoặc Chủ tịch Ủy ban nhân dân cấp tỉnh thực hiện phân cấp cho Chủ tịch Ủy ban nhân dân cấp xã hoặc cơ quan chuyên môn thuộc cấp tỉnh theo đúng thẩm quyền được quy định tại Luật Tổ chức chính quyền địa phương năm 2025, bảo đảm không phát sinh cách hiểu “UBND tỉnh phân cấp cho chính Chủ tịch UBND tỉnh”.</w:t>
            </w:r>
          </w:p>
        </w:tc>
      </w:tr>
      <w:tr w14:paraId="606D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5D225BB9">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A259D7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60171FE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Đồng Tháp</w:t>
            </w:r>
          </w:p>
        </w:tc>
        <w:tc>
          <w:tcPr>
            <w:tcW w:w="5475" w:type="dxa"/>
          </w:tcPr>
          <w:p w14:paraId="723068F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rPr>
            </w:pPr>
            <w:r>
              <w:rPr>
                <w:rFonts w:hint="default" w:ascii="Times New Roman" w:hAnsi="Times New Roman" w:cs="Times New Roman"/>
                <w:color w:val="auto"/>
                <w:sz w:val="26"/>
                <w:szCs w:val="26"/>
              </w:rPr>
              <w:t>Đề nghị bổ sung quy định chính sách phát triển vùng nguyên liệu nông sản để địa phương có căn cứ ban hành kế hoạch, chính sách phát triển vùng nguyên liệu nông sản trên địa bàn tỉnh (thực hiện khoản 3 Điều 21 của dự thảo Nghị định).</w:t>
            </w:r>
          </w:p>
        </w:tc>
        <w:tc>
          <w:tcPr>
            <w:tcW w:w="4567" w:type="dxa"/>
          </w:tcPr>
          <w:p w14:paraId="4637A97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Chính sách hỗ trợ phát triển vùng nguyên liệu đã được quy định tại Điều 12 của dự thảo Nghị định.</w:t>
            </w:r>
          </w:p>
        </w:tc>
      </w:tr>
      <w:tr w14:paraId="5EC2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725FFC7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6765863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3CDB11A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Sở Nông Nghiệp và Môi trường Thái Nguyên; TP Cần Thơ; Hà Nội</w:t>
            </w:r>
            <w:r>
              <w:rPr>
                <w:rFonts w:hint="default" w:ascii="Times New Roman" w:hAnsi="Times New Roman" w:cs="Times New Roman"/>
                <w:sz w:val="26"/>
                <w:szCs w:val="26"/>
              </w:rPr>
              <w:t>; Nghệ An</w:t>
            </w:r>
          </w:p>
        </w:tc>
        <w:tc>
          <w:tcPr>
            <w:tcW w:w="5475" w:type="dxa"/>
          </w:tcPr>
          <w:p w14:paraId="7B87770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Đề nghị sửa thành "3. Trình Hội đồng nhân dân cấp tỉnh ban hành chính sách phát triển liên kết chuỗi giá trị và vùng nguyên liệu nông sản trên địa bàn toàn tỉnh phù hợp với điều kiện địa phương.”.</w:t>
            </w:r>
          </w:p>
          <w:p w14:paraId="3B40D81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Lý do: </w:t>
            </w:r>
            <w:r>
              <w:rPr>
                <w:rFonts w:hint="default" w:ascii="Times New Roman" w:hAnsi="Times New Roman" w:cs="Times New Roman"/>
                <w:sz w:val="26"/>
                <w:szCs w:val="26"/>
                <w:lang w:val="vi-VN"/>
              </w:rPr>
              <w:t>tại khoản 4 Điều này đã có quy định về phân cấp</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phê duyệt liên kết.</w:t>
            </w:r>
          </w:p>
        </w:tc>
        <w:tc>
          <w:tcPr>
            <w:tcW w:w="4567" w:type="dxa"/>
          </w:tcPr>
          <w:p w14:paraId="41AE821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Tiếp thu</w:t>
            </w:r>
          </w:p>
        </w:tc>
      </w:tr>
      <w:tr w14:paraId="14A2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177670F1">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35D7999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2B2C90C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Sở Nông nghiệp và MT TP Hải Phòng; </w:t>
            </w:r>
          </w:p>
        </w:tc>
        <w:tc>
          <w:tcPr>
            <w:tcW w:w="5475" w:type="dxa"/>
          </w:tcPr>
          <w:p w14:paraId="67BBB28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Mục 3, </w:t>
            </w:r>
            <w:r>
              <w:rPr>
                <w:rFonts w:hint="default" w:ascii="Times New Roman" w:hAnsi="Times New Roman" w:cs="Times New Roman"/>
                <w:sz w:val="26"/>
                <w:szCs w:val="26"/>
                <w:lang w:val="vi-VN"/>
              </w:rPr>
              <w:t xml:space="preserve">4 </w:t>
            </w:r>
            <w:r>
              <w:rPr>
                <w:rFonts w:hint="default" w:ascii="Times New Roman" w:hAnsi="Times New Roman" w:cs="Times New Roman"/>
                <w:sz w:val="26"/>
                <w:szCs w:val="26"/>
              </w:rPr>
              <w:t xml:space="preserve">Điều 21. Trách nhiệm của Ủy ban nhân dân cấp tỉnh: Đề nghị Ban soạn thảo nghiên cứu kết cấu theo hướng: Chủ tịch Ủy ban nhân dân cấp tỉnh phê duyệt kế hoạch liên kết có quy mô liên xã, Chủ tịch Ủy ban nhân dân cấp xã phê duyệt Kế hoạch liên kết trên địa bàn xã mà không phụ thuộc vào quy mô đầu tư và tính chất liên kết sản xuất, đảm bảo phù hợp với Điều 40 Nghị định 131/2025/NĐ-CP Quy định phân định thẩm quyền của chính quyền địa phương 02 cấp trong lĩnh vực quản lý nhà nước của Bộ Nông nghiệp và Môi trường. </w:t>
            </w:r>
          </w:p>
        </w:tc>
        <w:tc>
          <w:tcPr>
            <w:tcW w:w="4567" w:type="dxa"/>
          </w:tcPr>
          <w:p w14:paraId="26BBFB3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0000FF"/>
                <w:sz w:val="26"/>
                <w:szCs w:val="26"/>
              </w:rPr>
            </w:pPr>
            <w:r>
              <w:rPr>
                <w:rFonts w:hint="default" w:ascii="Times New Roman" w:hAnsi="Times New Roman" w:cs="Times New Roman"/>
                <w:color w:val="auto"/>
                <w:sz w:val="26"/>
                <w:szCs w:val="26"/>
              </w:rPr>
              <w:t>Tiếp thu</w:t>
            </w:r>
            <w:r>
              <w:rPr>
                <w:rFonts w:hint="default" w:ascii="Times New Roman" w:hAnsi="Times New Roman" w:cs="Times New Roman"/>
                <w:color w:val="auto"/>
                <w:sz w:val="26"/>
                <w:szCs w:val="26"/>
                <w:lang w:val="en-US"/>
              </w:rPr>
              <w:t>.</w:t>
            </w:r>
            <w:r>
              <w:rPr>
                <w:rFonts w:hint="default" w:ascii="Times New Roman" w:hAnsi="Times New Roman" w:cs="Times New Roman"/>
                <w:color w:val="auto"/>
                <w:sz w:val="26"/>
                <w:szCs w:val="26"/>
              </w:rPr>
              <w:t xml:space="preserve"> Dự thảo sẽ nghiên cứu hoàn thiện theo hướng phân định thẩm quyền chủ yếu theo phạm vi địa bàn thực hiện liên kết, đồng thời bảo đảm thống nhất với quy định tại Nghị định số 131/2025/NĐ-CP và các quy định có liên quan.</w:t>
            </w:r>
          </w:p>
        </w:tc>
      </w:tr>
      <w:tr w14:paraId="10FD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781" w:type="dxa"/>
          </w:tcPr>
          <w:p w14:paraId="62FCBBF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7F74EA2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4. Chủ tịch Ủy ban nhân dân cấp tỉnh: Quyết định phê duyệt kế hoạch liên kết và nội dung hỗ trợ liên kết theo quy định; Quy định phân cấp cho Chủ tịch Ủy ban nhân dân cấp xã phê duyệt phù hợp với quy mô, tính chất liên kết.</w:t>
            </w:r>
          </w:p>
          <w:p w14:paraId="14C4110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p>
        </w:tc>
        <w:tc>
          <w:tcPr>
            <w:tcW w:w="1898" w:type="dxa"/>
          </w:tcPr>
          <w:p w14:paraId="73F95D0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TP Hà Nội.</w:t>
            </w:r>
          </w:p>
        </w:tc>
        <w:tc>
          <w:tcPr>
            <w:tcW w:w="5475" w:type="dxa"/>
          </w:tcPr>
          <w:p w14:paraId="126DA8D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4. Ủy ban nhân dân cấp tỉnh: Quy định phân cấp cho Chủ tịch Ủy ban nhân dân cấp xã phê duyệt phù hợp với quy mô, tính chất liên kết;</w:t>
            </w:r>
          </w:p>
          <w:p w14:paraId="15501CB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Quyết định phê duyệt kế hoạch liên kết và nội dung hỗ trợ liên kết có quy mô liên xã </w:t>
            </w:r>
            <w:r>
              <w:rPr>
                <w:rFonts w:hint="default" w:ascii="Times New Roman" w:hAnsi="Times New Roman" w:eastAsia="Times New Roman" w:cs="Times New Roman"/>
                <w:b/>
                <w:bCs/>
                <w:sz w:val="26"/>
                <w:szCs w:val="26"/>
                <w:lang w:eastAsia="vi-VN"/>
              </w:rPr>
              <w:t xml:space="preserve">và </w:t>
            </w:r>
            <w:r>
              <w:rPr>
                <w:rFonts w:hint="default" w:ascii="Times New Roman" w:hAnsi="Times New Roman" w:eastAsia="Times New Roman" w:cs="Times New Roman"/>
                <w:sz w:val="26"/>
                <w:szCs w:val="26"/>
                <w:lang w:eastAsia="vi-VN"/>
              </w:rPr>
              <w:t xml:space="preserve">theo quy mô đầu tư, hỗ trợ liên kết theo Điều 11, Điều 13, Điều 14 theo Nghị định từ nguồn vốn ngân sách nhà nước, phù hợp với điều kiện của địa phương theo quy định; </w:t>
            </w:r>
          </w:p>
          <w:p w14:paraId="784B4499">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Phân cấp ủy quyền cho Sở Nông nghiệp và Môi trường cấp tỉnh phê duyệt kế hoạch </w:t>
            </w:r>
            <w:r>
              <w:rPr>
                <w:rFonts w:hint="default" w:ascii="Times New Roman" w:hAnsi="Times New Roman" w:eastAsia="Times New Roman" w:cs="Times New Roman"/>
                <w:bCs/>
                <w:sz w:val="26"/>
                <w:szCs w:val="26"/>
                <w:lang w:eastAsia="vi-VN"/>
              </w:rPr>
              <w:t>và</w:t>
            </w:r>
            <w:r>
              <w:rPr>
                <w:rFonts w:hint="default" w:ascii="Times New Roman" w:hAnsi="Times New Roman" w:eastAsia="Times New Roman" w:cs="Times New Roman"/>
                <w:b/>
                <w:bCs/>
                <w:sz w:val="26"/>
                <w:szCs w:val="26"/>
                <w:lang w:eastAsia="vi-VN"/>
              </w:rPr>
              <w:t xml:space="preserve"> </w:t>
            </w:r>
            <w:r>
              <w:rPr>
                <w:rFonts w:hint="default" w:ascii="Times New Roman" w:hAnsi="Times New Roman" w:eastAsia="Times New Roman" w:cs="Times New Roman"/>
                <w:sz w:val="26"/>
                <w:szCs w:val="26"/>
                <w:lang w:eastAsia="vi-VN"/>
              </w:rPr>
              <w:t>nội dung liên kết có quy mô liên xã và theo quy mô hỗ trợ liên kết tại các điều còn lại theo Nghị định từ nguồn vốn ngân sách nhà nước, phù hợp với điều kiện của địa phương theo quy định.</w:t>
            </w:r>
          </w:p>
        </w:tc>
        <w:tc>
          <w:tcPr>
            <w:tcW w:w="4567" w:type="dxa"/>
          </w:tcPr>
          <w:p w14:paraId="78521FB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color w:val="auto"/>
                <w:sz w:val="26"/>
                <w:szCs w:val="26"/>
                <w:lang w:val="vi-VN"/>
              </w:rPr>
              <w:t xml:space="preserve">Tiếp thu đề nghị làm rõ thẩm quyền phê duyệt liên kết quy mô liên xã và hỗ trợ từ ngân sách nhà nước. Dự thảo </w:t>
            </w:r>
            <w:r>
              <w:rPr>
                <w:rFonts w:hint="default" w:ascii="Times New Roman" w:hAnsi="Times New Roman" w:cs="Times New Roman"/>
                <w:color w:val="auto"/>
                <w:sz w:val="26"/>
                <w:szCs w:val="26"/>
                <w:lang w:val="en-US"/>
              </w:rPr>
              <w:t xml:space="preserve">đã </w:t>
            </w:r>
            <w:r>
              <w:rPr>
                <w:rFonts w:hint="default" w:ascii="Times New Roman" w:hAnsi="Times New Roman" w:cs="Times New Roman"/>
                <w:color w:val="auto"/>
                <w:sz w:val="26"/>
                <w:szCs w:val="26"/>
                <w:lang w:val="vi-VN"/>
              </w:rPr>
              <w:t>rà soát, hoàn thiện quy định về thẩm quyền phê duyệt kế hoạch liên kết và nội dung hỗ trợ theo phạm vi địa bàn, quy mô hỗ trợ và quy định về phân cấp, phân quyền trong lĩnh vực nông nghiệp và môi trường.</w:t>
            </w:r>
          </w:p>
          <w:p w14:paraId="3CD807A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lang w:val="en-US"/>
              </w:rPr>
              <w:t>- Tiếp thu</w:t>
            </w:r>
            <w:r>
              <w:rPr>
                <w:rFonts w:hint="default" w:ascii="Times New Roman" w:hAnsi="Times New Roman" w:cs="Times New Roman"/>
                <w:color w:val="auto"/>
                <w:sz w:val="26"/>
                <w:szCs w:val="26"/>
                <w:lang w:val="vi-VN"/>
              </w:rPr>
              <w:t xml:space="preserve"> theo hướng giao Chủ tịch Ủy ban nhân dân cấp tỉnh thực hiện phân cấp cho Chủ tịch Ủy ban nhân dân cấp xã phê duyệt phù hợp với quy mô, tính chất liên kết và điều kiện thực tế của địa phương.</w:t>
            </w:r>
          </w:p>
          <w:p w14:paraId="709EA3C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lang w:val="vi-VN"/>
              </w:rPr>
              <w:t>3. Về đề nghị phân cấp, ủy quyền cho Sở Nông nghiệp và Môi trường cấp tỉnh phê duyệt một số kế hoạch liên kết</w:t>
            </w:r>
            <w:r>
              <w:rPr>
                <w:rFonts w:hint="default" w:ascii="Times New Roman" w:hAnsi="Times New Roman" w:cs="Times New Roman"/>
                <w:color w:val="auto"/>
                <w:sz w:val="26"/>
                <w:szCs w:val="26"/>
                <w:lang w:val="en-US"/>
              </w:rPr>
              <w:t xml:space="preserve">: </w:t>
            </w:r>
            <w:r>
              <w:rPr>
                <w:rFonts w:hint="default" w:ascii="Times New Roman" w:hAnsi="Times New Roman" w:cs="Times New Roman"/>
                <w:color w:val="auto"/>
                <w:sz w:val="26"/>
                <w:szCs w:val="26"/>
                <w:lang w:val="vi-VN"/>
              </w:rPr>
              <w:t>Dự thảo quy định theo hướng cho phép Ủy ban nhân dân cấp tỉnh hoặc Chủ tịch Ủy ban nhân dân cấp tỉnh thực hiện phân cấp, ủy quyền cho Sở Nông nghiệp và Môi trường trong phạm vi phù hợp với quy định của pháp luật và điều kiện thực tế của địa phương.</w:t>
            </w:r>
          </w:p>
        </w:tc>
      </w:tr>
      <w:tr w14:paraId="3A91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BDEC7D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1CA4D900">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5. Bố trí ngân sách địa phương, lồng ghép các nguồn lực để thực hiện chính sách; ưu tiên hỗ trợ phát triển các liên kết chuỗi giá trị gắn với xây dựng các vùng nguyên liệu, tiêu chuẩn chất lượng, chuyển đổi số, chuyển đổi xanh.</w:t>
            </w:r>
          </w:p>
        </w:tc>
        <w:tc>
          <w:tcPr>
            <w:tcW w:w="1898" w:type="dxa"/>
          </w:tcPr>
          <w:p w14:paraId="7B2585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Môi trường Tuyên Quang</w:t>
            </w:r>
          </w:p>
        </w:tc>
        <w:tc>
          <w:tcPr>
            <w:tcW w:w="5475" w:type="dxa"/>
          </w:tcPr>
          <w:p w14:paraId="6978C76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ối với địa phương chưa tự ngân đối được ngân sách, việc bố trí ngân sách địa phương để thực hiện chính sách; ưu tiên hỗ trợ phát triển các liên kết chuỗi giá trị gắn với xây dựng các vùng nguyên liệu, tiêu chuẩn chất lượng, chuyển đổi số, chuyển đổi xanh… gặp rất nhiều khó khăn, đề nghị có quy định về cơ chế hỗ trợ từ ngân sách trung ương cho các địa phương chưa tự ngân đối được ngân sách để triển khi thực hiện các chính sách trong phạm vi dự thảo Nghị định này.</w:t>
            </w:r>
          </w:p>
        </w:tc>
        <w:tc>
          <w:tcPr>
            <w:tcW w:w="4567" w:type="dxa"/>
          </w:tcPr>
          <w:p w14:paraId="5987674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Không tiếp thu. Việc hỗ trợ từ ngân sách trung ương đối với địa phương chưa tự cân đối ngân sách phải thực hiện theo nguyên tắc phân cấp ngân sách nhà nước và khả năng cân đối ngân sách trung ương theo quy định của pháp luật về ngân sách nhà nước và đầu tư công.</w:t>
            </w:r>
          </w:p>
        </w:tc>
      </w:tr>
      <w:tr w14:paraId="75A7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4E9AA8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60BB99B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b/>
                <w:bCs/>
                <w:sz w:val="26"/>
                <w:szCs w:val="26"/>
                <w:lang w:eastAsia="vi-VN"/>
              </w:rPr>
            </w:pPr>
            <w:r>
              <w:rPr>
                <w:rFonts w:hint="default" w:ascii="Times New Roman" w:hAnsi="Times New Roman" w:cs="Times New Roman"/>
                <w:b/>
                <w:bCs/>
                <w:sz w:val="26"/>
                <w:szCs w:val="26"/>
                <w:lang w:val="vi-VN"/>
              </w:rPr>
              <w:t>Điều 2</w:t>
            </w:r>
            <w:r>
              <w:rPr>
                <w:rFonts w:hint="default" w:ascii="Times New Roman" w:hAnsi="Times New Roman" w:cs="Times New Roman"/>
                <w:b/>
                <w:bCs/>
                <w:sz w:val="26"/>
                <w:szCs w:val="26"/>
              </w:rPr>
              <w:t>2</w:t>
            </w:r>
            <w:r>
              <w:rPr>
                <w:rFonts w:hint="default" w:ascii="Times New Roman" w:hAnsi="Times New Roman" w:cs="Times New Roman"/>
                <w:b/>
                <w:bCs/>
                <w:sz w:val="26"/>
                <w:szCs w:val="26"/>
                <w:lang w:val="vi-VN"/>
              </w:rPr>
              <w:t xml:space="preserve">. </w:t>
            </w:r>
            <w:r>
              <w:rPr>
                <w:rFonts w:hint="default" w:ascii="Times New Roman" w:hAnsi="Times New Roman" w:eastAsia="Times New Roman" w:cs="Times New Roman"/>
                <w:b/>
                <w:bCs/>
                <w:sz w:val="26"/>
                <w:szCs w:val="26"/>
                <w:lang w:eastAsia="vi-VN"/>
              </w:rPr>
              <w:t>Trách nhiệm của các tổ chức chính trị - xã hội, tổ chức xã hội nghề nghiệp, hiệp hội ngành hàng</w:t>
            </w:r>
          </w:p>
          <w:p w14:paraId="7340DBEE">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lang w:val="vi-VN"/>
              </w:rPr>
            </w:pPr>
          </w:p>
        </w:tc>
        <w:tc>
          <w:tcPr>
            <w:tcW w:w="1898" w:type="dxa"/>
          </w:tcPr>
          <w:p w14:paraId="1A422B34">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Liên minh Hợp tác xã Việt Nam</w:t>
            </w:r>
          </w:p>
        </w:tc>
        <w:tc>
          <w:tcPr>
            <w:tcW w:w="5475" w:type="dxa"/>
          </w:tcPr>
          <w:p w14:paraId="77920BE9">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rPr>
              <w:t>Đề nghị bổ sung cơ chế phối hợp với cơ quan quản lý nhà nước và hệ thống Liên minh Hợp tác xã Việt Nam trong tuyên truyền, vận động, tư vấn hợp đồng, kế hoạch liên kết, hòa giải tranh chấp, giám sát chính sách, phản ánh khó khăn, vướng mắc.</w:t>
            </w:r>
          </w:p>
          <w:p w14:paraId="77803989">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color w:val="auto"/>
                <w:sz w:val="26"/>
                <w:szCs w:val="26"/>
                <w:lang w:val="en-US"/>
              </w:rPr>
              <w:t xml:space="preserve">Lý do: </w:t>
            </w:r>
            <w:r>
              <w:rPr>
                <w:rFonts w:hint="default" w:ascii="Times New Roman" w:hAnsi="Times New Roman" w:cs="Times New Roman"/>
                <w:color w:val="auto"/>
                <w:sz w:val="26"/>
                <w:szCs w:val="26"/>
              </w:rPr>
              <w:t xml:space="preserve">Phát huy vai trò của các tổ chức đại diện, hiệp hội ngành hàng trong hỗ trợ liên kết chuỗi giá trị. </w:t>
            </w:r>
          </w:p>
        </w:tc>
        <w:tc>
          <w:tcPr>
            <w:tcW w:w="4567" w:type="dxa"/>
          </w:tcPr>
          <w:p w14:paraId="0D2C403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chỉnh sửa và ghép vào Điều 21. Trách nhiệm của các tổ chức thuộc hệ thống Ủy ban Mặt trận Tổ quốc Việt Nam, tổ chức xã hội nghề nghiệp và hiệp hội ngành hàng.</w:t>
            </w:r>
          </w:p>
        </w:tc>
      </w:tr>
      <w:tr w14:paraId="529BD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81" w:type="dxa"/>
            <w:vMerge w:val="restart"/>
          </w:tcPr>
          <w:p w14:paraId="26B66D78">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346411C4">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cs="Times New Roman"/>
                <w:b/>
                <w:bCs/>
                <w:sz w:val="26"/>
                <w:szCs w:val="26"/>
                <w:lang w:val="vi-VN"/>
              </w:rPr>
              <w:t>Điều 23. Điều khoản chuyển tiếp</w:t>
            </w:r>
          </w:p>
          <w:p w14:paraId="3F92642B">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2. Trường hợp có nhu cầu điều chỉnh để áp dụng theo Nghị định này thì thực hiện theo quy định của Nghị định này nếu đáp ứng đủ điều kiện. Hồ sơ đã nộp nhưng chưa được phê duyệt trước thời điểm Nghị định này có hiệu lực được tiếp tục xem xét, hoàn thiện theo quy định của Nghị định này.</w:t>
            </w:r>
          </w:p>
        </w:tc>
        <w:tc>
          <w:tcPr>
            <w:tcW w:w="1898" w:type="dxa"/>
          </w:tcPr>
          <w:p w14:paraId="6E199BB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Cục Lâm nghiệp và Kiểm lâm</w:t>
            </w:r>
            <w:r>
              <w:rPr>
                <w:rFonts w:hint="default" w:ascii="Times New Roman" w:hAnsi="Times New Roman" w:cs="Times New Roman"/>
                <w:sz w:val="26"/>
                <w:szCs w:val="26"/>
              </w:rPr>
              <w:t xml:space="preserve">; Liên </w:t>
            </w:r>
            <w:r>
              <w:rPr>
                <w:rFonts w:hint="default" w:ascii="Times New Roman" w:hAnsi="Times New Roman" w:cs="Times New Roman"/>
                <w:sz w:val="26"/>
                <w:szCs w:val="26"/>
                <w:lang w:val="en-US"/>
              </w:rPr>
              <w:t>m</w:t>
            </w:r>
            <w:r>
              <w:rPr>
                <w:rFonts w:hint="default" w:ascii="Times New Roman" w:hAnsi="Times New Roman" w:cs="Times New Roman"/>
                <w:sz w:val="26"/>
                <w:szCs w:val="26"/>
              </w:rPr>
              <w:t xml:space="preserve">inh </w:t>
            </w:r>
            <w:r>
              <w:rPr>
                <w:rFonts w:hint="default" w:ascii="Times New Roman" w:hAnsi="Times New Roman" w:cs="Times New Roman"/>
                <w:sz w:val="26"/>
                <w:szCs w:val="26"/>
                <w:lang w:val="en-US"/>
              </w:rPr>
              <w:t>HTX</w:t>
            </w:r>
            <w:r>
              <w:rPr>
                <w:rFonts w:hint="default" w:ascii="Times New Roman" w:hAnsi="Times New Roman" w:cs="Times New Roman"/>
                <w:sz w:val="26"/>
                <w:szCs w:val="26"/>
              </w:rPr>
              <w:t xml:space="preserve"> Việt Nam</w:t>
            </w:r>
          </w:p>
        </w:tc>
        <w:tc>
          <w:tcPr>
            <w:tcW w:w="5475" w:type="dxa"/>
          </w:tcPr>
          <w:p w14:paraId="5BFD21E0">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kern w:val="2"/>
                <w:sz w:val="26"/>
                <w:szCs w:val="26"/>
                <w:lang w:val="en-US"/>
              </w:rPr>
            </w:pPr>
            <w:r>
              <w:rPr>
                <w:rFonts w:hint="default" w:ascii="Times New Roman" w:hAnsi="Times New Roman" w:cs="Times New Roman"/>
                <w:color w:val="auto"/>
                <w:kern w:val="2"/>
                <w:sz w:val="26"/>
                <w:szCs w:val="26"/>
                <w:lang w:val="en-US"/>
              </w:rPr>
              <w:t>Đề nghị chỉnh sửa khoản 2 Điều 23 theo hướng quy định rõ xử lý chuyển tiếp đối với dự án, kế hoạch liên kết và hồ sơ đã nộp theo Nghị định số 98/2018/NĐ-CP; trường hợp điều chỉnh để áp dụng theo Nghị định mới thì chỉ thực hiện thủ tục đối với phần nội dung điều chỉnh, bổ sung; hồ sơ chưa được phê duyệt được tiếp tục xem xét, hoàn thiện theo quy định của Nghị định này.</w:t>
            </w:r>
          </w:p>
          <w:p w14:paraId="67778A01">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color w:val="auto"/>
                <w:sz w:val="26"/>
                <w:szCs w:val="26"/>
                <w:lang w:val="en-US"/>
              </w:rPr>
              <w:t xml:space="preserve">Lý do: </w:t>
            </w:r>
            <w:r>
              <w:rPr>
                <w:rFonts w:hint="default" w:ascii="Times New Roman" w:hAnsi="Times New Roman" w:cs="Times New Roman"/>
                <w:color w:val="auto"/>
                <w:sz w:val="26"/>
                <w:szCs w:val="26"/>
              </w:rPr>
              <w:t xml:space="preserve">Bảo đảm ổn định chính sách, không làm gián đoạn các mô hình liên kết đang triển khai. </w:t>
            </w:r>
          </w:p>
        </w:tc>
        <w:tc>
          <w:tcPr>
            <w:tcW w:w="4567" w:type="dxa"/>
          </w:tcPr>
          <w:p w14:paraId="6FF62FF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Tiếp thu. Dự thảo đã </w:t>
            </w:r>
            <w:r>
              <w:rPr>
                <w:rFonts w:hint="default" w:ascii="Times New Roman" w:hAnsi="Times New Roman" w:cs="Times New Roman"/>
                <w:sz w:val="26"/>
                <w:szCs w:val="26"/>
                <w:lang w:val="en-US"/>
              </w:rPr>
              <w:t>sửa</w:t>
            </w:r>
            <w:r>
              <w:rPr>
                <w:rFonts w:hint="default" w:ascii="Times New Roman" w:hAnsi="Times New Roman" w:cs="Times New Roman"/>
                <w:sz w:val="26"/>
                <w:szCs w:val="26"/>
                <w:lang w:val="vi-VN"/>
              </w:rPr>
              <w:t xml:space="preserve"> khoản 2 Điều 23 theo hướng làm rõ cơ chế xử lý chuyển tiếp đối với các dự án, kế hoạch liên kết và hồ sơ đã nộp theo Nghị định số 98/2018/NĐ-CP nhằm bảo đảm tính liên tục, ổn định của chính sách, không làm gián đoạn hoạt động liên kết đang triển khai. Trường hợp điều chỉnh để áp dụng theo Nghị định này thì chỉ thực hiện thủ tục đối với phần nội dung điều chỉnh, bổ sung; hồ sơ đã nộp nhưng chưa được phê duyệt tiếp tục được xem xét, hoàn thiện theo quy định của Nghị định này.</w:t>
            </w:r>
          </w:p>
        </w:tc>
      </w:tr>
      <w:tr w14:paraId="20E88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Pr>
          <w:p w14:paraId="0710161E">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Pr>
          <w:p w14:paraId="0F2D40DD">
            <w:pPr>
              <w:keepNext w:val="0"/>
              <w:keepLines w:val="0"/>
              <w:pageBreakBefore w:val="0"/>
              <w:shd w:val="clear" w:color="auto" w:fill="FFFFFF"/>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sz w:val="26"/>
                <w:szCs w:val="26"/>
              </w:rPr>
            </w:pPr>
          </w:p>
        </w:tc>
        <w:tc>
          <w:tcPr>
            <w:tcW w:w="1898" w:type="dxa"/>
          </w:tcPr>
          <w:p w14:paraId="20247E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Sở </w:t>
            </w:r>
            <w:r>
              <w:rPr>
                <w:rFonts w:hint="default" w:ascii="Times New Roman" w:hAnsi="Times New Roman" w:cs="Times New Roman"/>
                <w:sz w:val="26"/>
                <w:szCs w:val="26"/>
              </w:rPr>
              <w:t xml:space="preserve">NN&amp;MT TP. Hải </w:t>
            </w:r>
            <w:r>
              <w:rPr>
                <w:rFonts w:hint="default" w:ascii="Times New Roman" w:hAnsi="Times New Roman" w:cs="Times New Roman"/>
                <w:sz w:val="26"/>
                <w:szCs w:val="26"/>
                <w:lang w:val="vi-VN"/>
              </w:rPr>
              <w:t xml:space="preserve">Phòng; Cục Thủy sản và </w:t>
            </w:r>
            <w:r>
              <w:rPr>
                <w:rFonts w:hint="default" w:ascii="Times New Roman" w:hAnsi="Times New Roman" w:cs="Times New Roman"/>
                <w:sz w:val="26"/>
                <w:szCs w:val="26"/>
                <w:lang w:val="en-US"/>
              </w:rPr>
              <w:t>K</w:t>
            </w:r>
            <w:r>
              <w:rPr>
                <w:rFonts w:hint="default" w:ascii="Times New Roman" w:hAnsi="Times New Roman" w:cs="Times New Roman"/>
                <w:sz w:val="26"/>
                <w:szCs w:val="26"/>
                <w:lang w:val="vi-VN"/>
              </w:rPr>
              <w:t>iểm ngư</w:t>
            </w:r>
          </w:p>
          <w:p w14:paraId="561E081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rPr>
            </w:pPr>
          </w:p>
        </w:tc>
        <w:tc>
          <w:tcPr>
            <w:tcW w:w="5475" w:type="dxa"/>
          </w:tcPr>
          <w:p w14:paraId="583E1EF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Đề nghị bổ sung điểm thứ 3 về nội dung đối với các tỉnh, thành phố khi sáp nhập và vận hành theo bộ máy chính quyền 2 cấp từ tháng 7 năm 2025 đã ban hành chính sách về liên kết sản xuất và tiêu thụ sản phẩm nông nghiệp phù hợp với thực tiễn của địa phương thì tiếp tục thực hiện.</w:t>
            </w:r>
          </w:p>
          <w:p w14:paraId="5929683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B</w:t>
            </w:r>
            <w:r>
              <w:rPr>
                <w:rFonts w:hint="default" w:ascii="Times New Roman" w:hAnsi="Times New Roman" w:cs="Times New Roman"/>
                <w:sz w:val="26"/>
                <w:szCs w:val="26"/>
              </w:rPr>
              <w:t>ổ sung hướng dẫn giải quyết đối với trường hợp các dự án, kế hoạch liên kết đang triển khai và dự án, kế hoạch thuộc trường hợp chuyển đổi chính sách hỗ trợ thì có tiếp tục được thực hiện và hưởng chính sách đã được phê duyệt đến hết thời hạn hay không.</w:t>
            </w:r>
          </w:p>
        </w:tc>
        <w:tc>
          <w:tcPr>
            <w:tcW w:w="4567" w:type="dxa"/>
          </w:tcPr>
          <w:p w14:paraId="248F1A1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Không tiếp thu. Việc tiếp tục thực hiện các cơ chế, chính sách do địa phương đã ban hành thuộc phạm vi điều chỉnh của pháp luật về tổ chức chính quyền địa phương, ngân sách nhà nước và các quy định xử lý chuyển tiếp khi sắp xếp đơn vị hành chính, tổ chức chính quyền địa phương 02 cấp. Do đó, dự thảo không quy định riêng nội dung này để tránh trùng lặp và bảo đảm thống nhất của hệ thống pháp luật. Trường hợp chính sách địa phương còn hiệu lực và không trái với quy định của Nghị định này thì tiếp tục thực hiện theo quy định của pháp luật có liên quan.</w:t>
            </w:r>
          </w:p>
          <w:p w14:paraId="21519116">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Tiếp thu. Nội dung này đã được quy định tại khoản 1 Điều 23 theo hướng các dự án liên kết, kế hoạch liên kết đã được phê duyệt trước thời điểm Nghị định này có hiệu lực tiếp tục được thực hiện và hưởng chính sách hỗ trợ đã được phê duyệt đến hết thời hạn. Trường hợp có nhu cầu chuyển đổi để áp dụng theo Nghị định này thì thực hiện theo quy định của Nghị định này nếu đáp ứng đủ điều kiện.</w:t>
            </w:r>
          </w:p>
        </w:tc>
      </w:tr>
      <w:tr w14:paraId="7DDA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0E06691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762836CA">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lang w:eastAsia="vi-VN"/>
              </w:rPr>
              <w:t xml:space="preserve">Điều 24. </w:t>
            </w:r>
            <w:r>
              <w:rPr>
                <w:rFonts w:hint="default" w:ascii="Times New Roman" w:hAnsi="Times New Roman" w:cs="Times New Roman"/>
                <w:b/>
                <w:bCs/>
                <w:sz w:val="26"/>
                <w:szCs w:val="26"/>
                <w:lang w:val="vi-VN" w:eastAsia="vi-VN"/>
              </w:rPr>
              <w:t>Hiệu lực thi hành</w:t>
            </w:r>
          </w:p>
          <w:p w14:paraId="7FCADFA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eastAsia="vi-VN"/>
              </w:rPr>
            </w:pPr>
            <w:r>
              <w:rPr>
                <w:rFonts w:hint="default" w:ascii="Times New Roman" w:hAnsi="Times New Roman" w:cs="Times New Roman"/>
                <w:sz w:val="26"/>
                <w:szCs w:val="26"/>
                <w:lang w:val="vi-VN" w:eastAsia="vi-VN"/>
              </w:rPr>
              <w:t xml:space="preserve">1. Nghị định này có hiệu lực thi hành từ ngày </w:t>
            </w:r>
            <w:r>
              <w:rPr>
                <w:rFonts w:hint="default" w:ascii="Times New Roman" w:hAnsi="Times New Roman" w:cs="Times New Roman"/>
                <w:sz w:val="26"/>
                <w:szCs w:val="26"/>
                <w:lang w:eastAsia="vi-VN"/>
              </w:rPr>
              <w:t xml:space="preserve">   </w:t>
            </w:r>
            <w:r>
              <w:rPr>
                <w:rFonts w:hint="default" w:ascii="Times New Roman" w:hAnsi="Times New Roman" w:cs="Times New Roman"/>
                <w:sz w:val="26"/>
                <w:szCs w:val="26"/>
                <w:lang w:val="vi-VN" w:eastAsia="vi-VN"/>
              </w:rPr>
              <w:t xml:space="preserve"> tháng </w:t>
            </w:r>
            <w:r>
              <w:rPr>
                <w:rFonts w:hint="default" w:ascii="Times New Roman" w:hAnsi="Times New Roman" w:cs="Times New Roman"/>
                <w:sz w:val="26"/>
                <w:szCs w:val="26"/>
                <w:lang w:eastAsia="vi-VN"/>
              </w:rPr>
              <w:t xml:space="preserve">     </w:t>
            </w:r>
            <w:r>
              <w:rPr>
                <w:rFonts w:hint="default" w:ascii="Times New Roman" w:hAnsi="Times New Roman" w:cs="Times New Roman"/>
                <w:sz w:val="26"/>
                <w:szCs w:val="26"/>
                <w:lang w:val="vi-VN" w:eastAsia="vi-VN"/>
              </w:rPr>
              <w:t xml:space="preserve"> năm </w:t>
            </w:r>
            <w:r>
              <w:rPr>
                <w:rFonts w:hint="default" w:ascii="Times New Roman" w:hAnsi="Times New Roman" w:cs="Times New Roman"/>
                <w:sz w:val="26"/>
                <w:szCs w:val="26"/>
                <w:lang w:eastAsia="vi-VN"/>
              </w:rPr>
              <w:t>2026</w:t>
            </w:r>
            <w:r>
              <w:rPr>
                <w:rFonts w:hint="default" w:ascii="Times New Roman" w:hAnsi="Times New Roman" w:cs="Times New Roman"/>
                <w:sz w:val="26"/>
                <w:szCs w:val="26"/>
                <w:lang w:val="vi-VN" w:eastAsia="vi-VN"/>
              </w:rPr>
              <w:t>.</w:t>
            </w:r>
          </w:p>
          <w:p w14:paraId="1A56E14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vi-VN" w:eastAsia="vi-VN"/>
              </w:rPr>
            </w:pPr>
            <w:r>
              <w:rPr>
                <w:rFonts w:hint="default" w:ascii="Times New Roman" w:hAnsi="Times New Roman" w:cs="Times New Roman"/>
                <w:sz w:val="26"/>
                <w:szCs w:val="26"/>
                <w:lang w:eastAsia="vi-VN"/>
              </w:rPr>
              <w:t xml:space="preserve">2. </w:t>
            </w:r>
            <w:r>
              <w:rPr>
                <w:rFonts w:hint="default" w:ascii="Times New Roman" w:hAnsi="Times New Roman" w:cs="Times New Roman"/>
                <w:sz w:val="26"/>
                <w:szCs w:val="26"/>
                <w:lang w:val="vi-VN" w:eastAsia="vi-VN"/>
              </w:rPr>
              <w:t>Nghị định này thay thế Nghị định số 98/2018/NĐ-CP ngày 05 tháng 7 năm 2018 của Chính phủ về chính sách khuyến khích phát triển hợp tác, liên kết trong sản xuất và tiêu thụ sản phẩm nông nghiệp.</w:t>
            </w:r>
          </w:p>
        </w:tc>
        <w:tc>
          <w:tcPr>
            <w:tcW w:w="1898" w:type="dxa"/>
          </w:tcPr>
          <w:p w14:paraId="5D403E6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L</w:t>
            </w:r>
            <w:r>
              <w:rPr>
                <w:rFonts w:hint="default" w:ascii="Times New Roman" w:hAnsi="Times New Roman" w:cs="Times New Roman"/>
                <w:sz w:val="26"/>
                <w:szCs w:val="26"/>
                <w:lang w:val="en-US"/>
              </w:rPr>
              <w:t>iên minh</w:t>
            </w:r>
            <w:r>
              <w:rPr>
                <w:rFonts w:hint="default" w:ascii="Times New Roman" w:hAnsi="Times New Roman" w:cs="Times New Roman"/>
                <w:sz w:val="26"/>
                <w:szCs w:val="26"/>
              </w:rPr>
              <w:t xml:space="preserve"> HTX V</w:t>
            </w:r>
            <w:r>
              <w:rPr>
                <w:rFonts w:hint="default" w:ascii="Times New Roman" w:hAnsi="Times New Roman" w:cs="Times New Roman"/>
                <w:sz w:val="26"/>
                <w:szCs w:val="26"/>
                <w:lang w:val="en-US"/>
              </w:rPr>
              <w:t>iệt Nam</w:t>
            </w:r>
          </w:p>
        </w:tc>
        <w:tc>
          <w:tcPr>
            <w:tcW w:w="5475" w:type="dxa"/>
          </w:tcPr>
          <w:p w14:paraId="7FF9EC26">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rPr>
              <w:t xml:space="preserve">Đề nghị rà soát thống nhất số thứ tự điều về hiệu lực thi hành trong toàn bộ hồ sơ dự thảo; ghi đúng nội dung thay thế: “Nghị định này thay thế Nghị định số 98/2018/NĐ-CP ngày 05 tháng 7 năm 2018 của Chính phủ về chính sách khuyến khích phát triển hợp tác, liên kết trong sản xuất và tiêu thụ sản phẩm nông nghiệp.” </w:t>
            </w:r>
            <w:r>
              <w:rPr>
                <w:rFonts w:hint="default" w:ascii="Times New Roman" w:hAnsi="Times New Roman" w:cs="Times New Roman"/>
                <w:color w:val="auto"/>
                <w:sz w:val="26"/>
                <w:szCs w:val="26"/>
                <w:lang w:val="en-US"/>
              </w:rPr>
              <w:t>.</w:t>
            </w:r>
          </w:p>
          <w:p w14:paraId="6786ED2B">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xml:space="preserve">Lý do: </w:t>
            </w:r>
            <w:r>
              <w:rPr>
                <w:rFonts w:hint="default" w:ascii="Times New Roman" w:hAnsi="Times New Roman" w:cs="Times New Roman"/>
                <w:color w:val="auto"/>
                <w:sz w:val="26"/>
                <w:szCs w:val="26"/>
              </w:rPr>
              <w:t xml:space="preserve">Bảo đảm thống nhất giữa dự thảo Nghị định, tờ trình, báo cáo thuyết minh, bảng so sánh và các tài liệu kèm theo. </w:t>
            </w:r>
          </w:p>
          <w:p w14:paraId="67286565">
            <w:pPr>
              <w:pStyle w:val="48"/>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color w:val="auto"/>
                <w:sz w:val="26"/>
                <w:szCs w:val="26"/>
                <w:lang w:val="en-US"/>
              </w:rPr>
            </w:pPr>
          </w:p>
          <w:p w14:paraId="04A5F5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p>
        </w:tc>
        <w:tc>
          <w:tcPr>
            <w:tcW w:w="4567" w:type="dxa"/>
          </w:tcPr>
          <w:p w14:paraId="6DD41F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2E6A4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1" w:type="dxa"/>
            <w:shd w:val="clear" w:color="auto" w:fill="92D050"/>
          </w:tcPr>
          <w:p w14:paraId="57DC9781">
            <w:pPr>
              <w:pStyle w:val="36"/>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left="170" w:leftChars="0"/>
              <w:contextualSpacing w:val="0"/>
              <w:jc w:val="both"/>
              <w:textAlignment w:val="auto"/>
              <w:rPr>
                <w:rFonts w:hint="default" w:ascii="Times New Roman" w:hAnsi="Times New Roman" w:cs="Times New Roman"/>
                <w:sz w:val="26"/>
                <w:szCs w:val="26"/>
                <w:lang w:val="vi-VN"/>
              </w:rPr>
            </w:pPr>
          </w:p>
        </w:tc>
        <w:tc>
          <w:tcPr>
            <w:tcW w:w="14586" w:type="dxa"/>
            <w:gridSpan w:val="4"/>
            <w:shd w:val="clear" w:color="auto" w:fill="92D050"/>
            <w:vAlign w:val="center"/>
          </w:tcPr>
          <w:p w14:paraId="6E9F61F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firstLine="0" w:firstLineChars="0"/>
              <w:jc w:val="left"/>
              <w:textAlignment w:val="auto"/>
              <w:rPr>
                <w:rFonts w:hint="default" w:ascii="Times New Roman" w:hAnsi="Times New Roman" w:cs="Times New Roman"/>
                <w:sz w:val="26"/>
                <w:szCs w:val="26"/>
                <w:lang w:val="en-US"/>
              </w:rPr>
            </w:pPr>
            <w:r>
              <w:rPr>
                <w:rFonts w:hint="default" w:ascii="Times New Roman" w:hAnsi="Times New Roman" w:eastAsia="Times New Roman" w:cs="Times New Roman"/>
                <w:b/>
                <w:bCs/>
                <w:color w:val="auto"/>
                <w:sz w:val="26"/>
                <w:szCs w:val="26"/>
                <w:lang w:val="en-US"/>
              </w:rPr>
              <w:t>PHỤC LỤC</w:t>
            </w:r>
          </w:p>
        </w:tc>
      </w:tr>
      <w:tr w14:paraId="6FCE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3A52616D">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Pr>
          <w:p w14:paraId="0662A8B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eastAsia="vi-VN"/>
              </w:rPr>
            </w:pPr>
          </w:p>
        </w:tc>
        <w:tc>
          <w:tcPr>
            <w:tcW w:w="1898" w:type="dxa"/>
            <w:shd w:val="clear" w:color="auto" w:fill="auto"/>
            <w:vAlign w:val="top"/>
          </w:tcPr>
          <w:p w14:paraId="59BECED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vi-VN"/>
              </w:rPr>
              <w:t>Sở Nông nghiệp và PTNT Đồng Tháp</w:t>
            </w: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Cao Bằng; </w:t>
            </w:r>
            <w:r>
              <w:rPr>
                <w:rFonts w:hint="default" w:ascii="Times New Roman" w:hAnsi="Times New Roman" w:cs="Times New Roman"/>
                <w:sz w:val="26"/>
                <w:szCs w:val="26"/>
                <w:lang w:val="vi-VN"/>
              </w:rPr>
              <w:t>Sơn La; Hà Tĩnh;</w:t>
            </w:r>
            <w:r>
              <w:rPr>
                <w:rFonts w:hint="default" w:ascii="Times New Roman" w:hAnsi="Times New Roman" w:cs="Times New Roman"/>
                <w:sz w:val="26"/>
                <w:szCs w:val="26"/>
              </w:rPr>
              <w:t xml:space="preserve"> TP Cần Thơ Cục chuyển đổi số; Văn phòng Bộ; Trung tâm khuyến nông quốc </w:t>
            </w:r>
            <w:r>
              <w:rPr>
                <w:rFonts w:hint="default" w:ascii="Times New Roman" w:hAnsi="Times New Roman" w:cs="Times New Roman"/>
                <w:sz w:val="26"/>
                <w:szCs w:val="26"/>
                <w:lang w:val="vi-VN"/>
              </w:rPr>
              <w:t>gia; Bộ Khoa học và Công nghệ</w:t>
            </w: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An Giang; UBND TP </w:t>
            </w:r>
            <w:r>
              <w:rPr>
                <w:rFonts w:hint="default" w:ascii="Times New Roman" w:hAnsi="Times New Roman" w:cs="Times New Roman"/>
                <w:sz w:val="26"/>
                <w:szCs w:val="26"/>
                <w:lang w:val="en-US"/>
              </w:rPr>
              <w:t>H</w:t>
            </w:r>
            <w:r>
              <w:rPr>
                <w:rFonts w:hint="default" w:ascii="Times New Roman" w:hAnsi="Times New Roman" w:cs="Times New Roman"/>
                <w:sz w:val="26"/>
                <w:szCs w:val="26"/>
              </w:rPr>
              <w:t>uế</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L</w:t>
            </w:r>
            <w:r>
              <w:rPr>
                <w:rFonts w:hint="default" w:ascii="Times New Roman" w:hAnsi="Times New Roman" w:cs="Times New Roman"/>
                <w:sz w:val="26"/>
                <w:szCs w:val="26"/>
                <w:lang w:val="vi-VN"/>
              </w:rPr>
              <w:t xml:space="preserve">âm </w:t>
            </w:r>
            <w:r>
              <w:rPr>
                <w:rFonts w:hint="default" w:ascii="Times New Roman" w:hAnsi="Times New Roman" w:cs="Times New Roman"/>
                <w:sz w:val="26"/>
                <w:szCs w:val="26"/>
                <w:lang w:val="en-US"/>
              </w:rPr>
              <w:t>Đ</w:t>
            </w:r>
            <w:r>
              <w:rPr>
                <w:rFonts w:hint="default" w:ascii="Times New Roman" w:hAnsi="Times New Roman" w:cs="Times New Roman"/>
                <w:sz w:val="26"/>
                <w:szCs w:val="26"/>
                <w:lang w:val="vi-VN"/>
              </w:rPr>
              <w:t>ồng</w:t>
            </w:r>
          </w:p>
        </w:tc>
        <w:tc>
          <w:tcPr>
            <w:tcW w:w="5475" w:type="dxa"/>
            <w:shd w:val="clear" w:color="auto" w:fill="auto"/>
            <w:vAlign w:val="top"/>
          </w:tcPr>
          <w:p w14:paraId="7F26B07D">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Rà soát kỹ thể thức, kỹ thuật trình bày văn bản đảm bảo theo quy định tại Nghị định số 30/2020/NĐ-CP của Chính phủ về công tác văn thư, ví dụ: </w:t>
            </w:r>
          </w:p>
          <w:p w14:paraId="5BDAFACF">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Biểu mẫu số 03: Bổ sung thể thức Quốc hiệu, tên cơ quan ban hành; </w:t>
            </w:r>
          </w:p>
          <w:p w14:paraId="00778EA7">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Biểu mẫu số 05: Dự thảo Nghị định giao thẩm quyền phê duyệt cho Chủ tịch Ủy ban nhân dân (thẩm quyền riêng), tuy nhiên dự thảo mẫu Quyết định đang để thẩm quyền chung là “Ủy ban nhân dân”; Bổ sung đầy đủ ký hiệu văn bản “Số: ../QĐ-UBND"; sửa thể thức đề ký từ “Chủ tịch” thành “CHỦ TỊCH”,...</w:t>
            </w:r>
          </w:p>
          <w:p w14:paraId="28B3BDC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Tại các </w:t>
            </w:r>
            <w:r>
              <w:rPr>
                <w:rFonts w:hint="default" w:ascii="Times New Roman" w:hAnsi="Times New Roman" w:cs="Times New Roman"/>
                <w:sz w:val="26"/>
                <w:szCs w:val="26"/>
              </w:rPr>
              <w:t xml:space="preserve">mẫu đơn </w:t>
            </w:r>
            <w:r>
              <w:rPr>
                <w:rFonts w:hint="default" w:ascii="Times New Roman" w:hAnsi="Times New Roman" w:cs="Times New Roman"/>
                <w:sz w:val="26"/>
                <w:szCs w:val="26"/>
                <w:lang w:val="vi-VN"/>
              </w:rPr>
              <w:t>biểu m</w:t>
            </w:r>
            <w:r>
              <w:rPr>
                <w:rFonts w:hint="default" w:ascii="Times New Roman" w:hAnsi="Times New Roman" w:cs="Times New Roman"/>
                <w:sz w:val="26"/>
                <w:szCs w:val="26"/>
              </w:rPr>
              <w:t>ẫu 01, 02 và xem xét bổ sung trường thông tin về "Định danh điện tử" hoặc "Mã số vùng trồng số" của đơn vị chủ trì liên kết để tạo thuận lợi cho việc kiểm tra, giám sát "hậu kiểm" thay vì "tiền kiểm" như mục tiêu tại Tờ trình.</w:t>
            </w:r>
          </w:p>
          <w:p w14:paraId="0370795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 Đề nghị điều chỉnh để thống nhất nội dung tại Khoản 3, Điều 16; tên Mẫu số 01 tại Phụ lục và tiêu đề của Đơn đề nghị.</w:t>
            </w:r>
            <w:r>
              <w:rPr>
                <w:rFonts w:hint="default" w:ascii="Times New Roman" w:hAnsi="Times New Roman" w:cs="Times New Roman"/>
                <w:sz w:val="26"/>
                <w:szCs w:val="26"/>
                <w:lang w:val="vi-VN"/>
              </w:rPr>
              <w:t xml:space="preserve"> Đơn đề nghị phê duyệt kế hoạch liên kết:</w:t>
            </w:r>
          </w:p>
          <w:p w14:paraId="2149580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vi-VN" w:eastAsia="en-US" w:bidi="ar-SA"/>
                <w14:ligatures w14:val="standardContextual"/>
              </w:rPr>
            </w:pPr>
            <w:r>
              <w:rPr>
                <w:rFonts w:hint="default" w:ascii="Times New Roman" w:hAnsi="Times New Roman" w:cs="Times New Roman"/>
                <w:sz w:val="26"/>
                <w:szCs w:val="26"/>
              </w:rPr>
              <w:t>- Đề nghị sửa điểm (f) thành điểm (g) nhằm thống nhất với bảng chữ cái tiếng Việt và thống nhất với cách đánh chỉ mục các điều khác.</w:t>
            </w:r>
          </w:p>
        </w:tc>
        <w:tc>
          <w:tcPr>
            <w:tcW w:w="4567" w:type="dxa"/>
          </w:tcPr>
          <w:p w14:paraId="7C8EEAE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Đã rà soát, chỉnh sửa cho tiết các Mẫu biểu số 01, 02, 03, 04, 05 tại Phụ lục của dự thảo Nghị định.</w:t>
            </w:r>
          </w:p>
        </w:tc>
      </w:tr>
      <w:tr w14:paraId="2D55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restart"/>
          </w:tcPr>
          <w:p w14:paraId="2FEA073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restart"/>
          </w:tcPr>
          <w:p w14:paraId="672DF6A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eastAsia="vi-VN"/>
              </w:rPr>
            </w:pPr>
            <w:r>
              <w:rPr>
                <w:rFonts w:hint="default" w:ascii="Times New Roman" w:hAnsi="Times New Roman" w:cs="Times New Roman"/>
                <w:sz w:val="26"/>
                <w:szCs w:val="26"/>
                <w:lang w:val="en-US" w:eastAsia="vi-VN"/>
              </w:rPr>
              <w:t>Phụ lục 1</w:t>
            </w:r>
          </w:p>
        </w:tc>
        <w:tc>
          <w:tcPr>
            <w:tcW w:w="1898" w:type="dxa"/>
            <w:shd w:val="clear" w:color="auto" w:fill="auto"/>
            <w:vAlign w:val="top"/>
          </w:tcPr>
          <w:p w14:paraId="47BCCCB5">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Trung tâm Khuyến nông Quốc gia</w:t>
            </w:r>
          </w:p>
        </w:tc>
        <w:tc>
          <w:tcPr>
            <w:tcW w:w="5475" w:type="dxa"/>
            <w:shd w:val="clear" w:color="auto" w:fill="auto"/>
            <w:vAlign w:val="top"/>
          </w:tcPr>
          <w:p w14:paraId="51144A8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Ngưỡng diện tích tối thiểu chưa phù hợp đối với miền núi, biên giới, hải đảo.</w:t>
            </w:r>
          </w:p>
        </w:tc>
        <w:tc>
          <w:tcPr>
            <w:tcW w:w="4567" w:type="dxa"/>
          </w:tcPr>
          <w:p w14:paraId="6BA24078">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Giao UBND cấp tỉnh quy định linh hoạt ngưỡng diện tích tối thiểu phù hợp điều kiện địa phương.</w:t>
            </w:r>
          </w:p>
        </w:tc>
      </w:tr>
      <w:tr w14:paraId="64EF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Merge w:val="continue"/>
            <w:tcBorders/>
          </w:tcPr>
          <w:p w14:paraId="674F80FC">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vMerge w:val="continue"/>
            <w:tcBorders/>
          </w:tcPr>
          <w:p w14:paraId="2A755DCC">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eastAsia="vi-VN"/>
              </w:rPr>
            </w:pPr>
          </w:p>
        </w:tc>
        <w:tc>
          <w:tcPr>
            <w:tcW w:w="1898" w:type="dxa"/>
            <w:shd w:val="clear" w:color="auto" w:fill="auto"/>
            <w:vAlign w:val="top"/>
          </w:tcPr>
          <w:p w14:paraId="3FEFFDBB">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Cục Lâm nghiệp và Kiểm lâm</w:t>
            </w:r>
          </w:p>
        </w:tc>
        <w:tc>
          <w:tcPr>
            <w:tcW w:w="5475" w:type="dxa"/>
            <w:shd w:val="clear" w:color="auto" w:fill="auto"/>
            <w:vAlign w:val="top"/>
          </w:tcPr>
          <w:p w14:paraId="622444D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Bổ sung mã số rừng trồng đối với lĩnh vực lâm nghiệp.</w:t>
            </w:r>
          </w:p>
        </w:tc>
        <w:tc>
          <w:tcPr>
            <w:tcW w:w="4567" w:type="dxa"/>
          </w:tcPr>
          <w:p w14:paraId="07778FF1">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Bổ sung mã số rừng trồng trong tiêu chí và biểu mẫu liên quan.</w:t>
            </w:r>
          </w:p>
        </w:tc>
      </w:tr>
      <w:tr w14:paraId="118D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Borders/>
          </w:tcPr>
          <w:p w14:paraId="65467114">
            <w:pPr>
              <w:keepNext w:val="0"/>
              <w:keepLines w:val="0"/>
              <w:pageBreakBefore w:val="0"/>
              <w:kinsoku/>
              <w:wordWrap/>
              <w:overflowPunct/>
              <w:topLinePunct w:val="0"/>
              <w:bidi w:val="0"/>
              <w:snapToGrid/>
              <w:spacing w:beforeAutospacing="0" w:after="0" w:afterAutospacing="0" w:line="240" w:lineRule="auto"/>
              <w:ind w:left="360"/>
              <w:jc w:val="both"/>
              <w:textAlignment w:val="auto"/>
              <w:rPr>
                <w:rFonts w:hint="default" w:ascii="Times New Roman" w:hAnsi="Times New Roman" w:cs="Times New Roman"/>
                <w:sz w:val="26"/>
                <w:szCs w:val="26"/>
                <w:lang w:val="vi-VN"/>
              </w:rPr>
            </w:pPr>
          </w:p>
        </w:tc>
        <w:tc>
          <w:tcPr>
            <w:tcW w:w="2646" w:type="dxa"/>
            <w:tcBorders/>
          </w:tcPr>
          <w:p w14:paraId="3BD47D0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eastAsia="vi-VN"/>
              </w:rPr>
            </w:pPr>
            <w:r>
              <w:rPr>
                <w:rFonts w:hint="default" w:ascii="Times New Roman" w:hAnsi="Times New Roman" w:cs="Times New Roman"/>
                <w:sz w:val="26"/>
                <w:szCs w:val="26"/>
                <w:lang w:val="en-US" w:eastAsia="vi-VN"/>
              </w:rPr>
              <w:t>Mẫu số 4</w:t>
            </w:r>
          </w:p>
        </w:tc>
        <w:tc>
          <w:tcPr>
            <w:tcW w:w="1898" w:type="dxa"/>
            <w:shd w:val="clear" w:color="auto" w:fill="auto"/>
            <w:vAlign w:val="top"/>
          </w:tcPr>
          <w:p w14:paraId="6CC36CF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eastAsiaTheme="minorHAnsi"/>
                <w:kern w:val="2"/>
                <w:sz w:val="26"/>
                <w:szCs w:val="26"/>
                <w:lang w:val="en-US" w:eastAsia="en-US" w:bidi="ar-SA"/>
                <w14:ligatures w14:val="standardContextual"/>
              </w:rPr>
            </w:pPr>
            <w:r>
              <w:rPr>
                <w:rFonts w:hint="default" w:ascii="Times New Roman" w:hAnsi="Times New Roman" w:cs="Times New Roman"/>
                <w:sz w:val="26"/>
                <w:szCs w:val="26"/>
                <w:lang w:val="en-US"/>
              </w:rPr>
              <w:t>Trung tâm Khuyến nông Quốc gia</w:t>
            </w:r>
            <w:bookmarkStart w:id="4" w:name="_GoBack"/>
            <w:bookmarkEnd w:id="4"/>
          </w:p>
        </w:tc>
        <w:tc>
          <w:tcPr>
            <w:tcW w:w="5475" w:type="dxa"/>
            <w:shd w:val="clear" w:color="auto" w:fill="auto"/>
            <w:vAlign w:val="top"/>
          </w:tcPr>
          <w:p w14:paraId="6BB6B2B2">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Bổ sung lộ trình thực hiện cam kết môi trường và chuyển đổi xanh.</w:t>
            </w:r>
          </w:p>
        </w:tc>
        <w:tc>
          <w:tcPr>
            <w:tcW w:w="4567" w:type="dxa"/>
          </w:tcPr>
          <w:p w14:paraId="195E9F53">
            <w:pPr>
              <w:keepNext w:val="0"/>
              <w:keepLines w:val="0"/>
              <w:pageBreakBefore w:val="0"/>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 Chỉnh sửa Mẫu số 04 theo hướng bổ sung nội dung này.</w:t>
            </w:r>
          </w:p>
        </w:tc>
      </w:tr>
    </w:tbl>
    <w:p w14:paraId="73F40CCA">
      <w:pPr>
        <w:jc w:val="both"/>
        <w:rPr>
          <w:rFonts w:ascii="Times New Roman" w:hAnsi="Times New Roman" w:cs="Times New Roman"/>
          <w:sz w:val="26"/>
          <w:szCs w:val="26"/>
          <w:lang w:val="vi-VN"/>
        </w:rPr>
      </w:pPr>
    </w:p>
    <w:sectPr>
      <w:headerReference r:id="rId5" w:type="default"/>
      <w:pgSz w:w="16840" w:h="11907" w:orient="landscape"/>
      <w:pgMar w:top="960" w:right="720" w:bottom="867" w:left="720" w:header="709" w:footer="709"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egoe UI"/>
    <w:panose1 w:val="00000000000000000000"/>
    <w:charset w:val="86"/>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Aptos Display">
    <w:altName w:val="Arial"/>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nTime">
    <w:altName w:val="Times New Roman"/>
    <w:panose1 w:val="00000000000000000000"/>
    <w:charset w:val="00"/>
    <w:family w:val="swiss"/>
    <w:pitch w:val="default"/>
    <w:sig w:usb0="00000000" w:usb1="00000000" w:usb2="00000000" w:usb3="00000000" w:csb0="00000001" w:csb1="00000000"/>
  </w:font>
  <w:font w:name="Aptos">
    <w:altName w:val="Segoe U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8268729"/>
      <w:docPartObj>
        <w:docPartGallery w:val="autotext"/>
      </w:docPartObj>
    </w:sdtPr>
    <w:sdtEndPr>
      <w:rPr>
        <w:rFonts w:ascii="Times New Roman" w:hAnsi="Times New Roman" w:cs="Times New Roman"/>
      </w:rPr>
    </w:sdtEndPr>
    <w:sdtContent>
      <w:p w14:paraId="0044E940">
        <w:pPr>
          <w:pStyle w:val="16"/>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42</w:t>
        </w:r>
        <w:r>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9F8B8"/>
    <w:multiLevelType w:val="singleLevel"/>
    <w:tmpl w:val="9929F8B8"/>
    <w:lvl w:ilvl="0" w:tentative="0">
      <w:start w:val="1"/>
      <w:numFmt w:val="decimal"/>
      <w:suff w:val="space"/>
      <w:lvlText w:val="%1."/>
      <w:lvlJc w:val="left"/>
    </w:lvl>
  </w:abstractNum>
  <w:abstractNum w:abstractNumId="1">
    <w:nsid w:val="2C47CD03"/>
    <w:multiLevelType w:val="singleLevel"/>
    <w:tmpl w:val="2C47CD03"/>
    <w:lvl w:ilvl="0" w:tentative="0">
      <w:start w:val="1"/>
      <w:numFmt w:val="decimal"/>
      <w:suff w:val="space"/>
      <w:lvlText w:val="%1."/>
      <w:lvlJc w:val="left"/>
    </w:lvl>
  </w:abstractNum>
  <w:abstractNum w:abstractNumId="2">
    <w:nsid w:val="5F85F588"/>
    <w:multiLevelType w:val="singleLevel"/>
    <w:tmpl w:val="5F85F588"/>
    <w:lvl w:ilvl="0" w:tentative="0">
      <w:start w:val="1"/>
      <w:numFmt w:val="decimal"/>
      <w:suff w:val="space"/>
      <w:lvlText w:val="%1."/>
      <w:lvlJc w:val="left"/>
    </w:lvl>
  </w:abstractNum>
  <w:abstractNum w:abstractNumId="3">
    <w:nsid w:val="71797763"/>
    <w:multiLevelType w:val="multilevel"/>
    <w:tmpl w:val="717977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720"/>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6BB"/>
    <w:rsid w:val="0000230D"/>
    <w:rsid w:val="0000233D"/>
    <w:rsid w:val="00002833"/>
    <w:rsid w:val="00005B21"/>
    <w:rsid w:val="00006CFF"/>
    <w:rsid w:val="00006DC5"/>
    <w:rsid w:val="00007F6D"/>
    <w:rsid w:val="00011A25"/>
    <w:rsid w:val="00013DCA"/>
    <w:rsid w:val="00016059"/>
    <w:rsid w:val="000165DB"/>
    <w:rsid w:val="00020F08"/>
    <w:rsid w:val="00023751"/>
    <w:rsid w:val="000254F4"/>
    <w:rsid w:val="00027679"/>
    <w:rsid w:val="00031324"/>
    <w:rsid w:val="0003262E"/>
    <w:rsid w:val="0003326C"/>
    <w:rsid w:val="000375FC"/>
    <w:rsid w:val="00043745"/>
    <w:rsid w:val="00044934"/>
    <w:rsid w:val="000458BF"/>
    <w:rsid w:val="00046F55"/>
    <w:rsid w:val="00050C36"/>
    <w:rsid w:val="00051788"/>
    <w:rsid w:val="0005182A"/>
    <w:rsid w:val="00053B46"/>
    <w:rsid w:val="00053D16"/>
    <w:rsid w:val="00054DE5"/>
    <w:rsid w:val="000578C4"/>
    <w:rsid w:val="00064D12"/>
    <w:rsid w:val="00071126"/>
    <w:rsid w:val="0007137F"/>
    <w:rsid w:val="00071537"/>
    <w:rsid w:val="0007322D"/>
    <w:rsid w:val="00077150"/>
    <w:rsid w:val="00080994"/>
    <w:rsid w:val="00080C51"/>
    <w:rsid w:val="0008131C"/>
    <w:rsid w:val="0008455B"/>
    <w:rsid w:val="00086437"/>
    <w:rsid w:val="00090685"/>
    <w:rsid w:val="000928C9"/>
    <w:rsid w:val="0009320B"/>
    <w:rsid w:val="000A1C68"/>
    <w:rsid w:val="000A1F16"/>
    <w:rsid w:val="000A427E"/>
    <w:rsid w:val="000A6415"/>
    <w:rsid w:val="000A7B6A"/>
    <w:rsid w:val="000B0D79"/>
    <w:rsid w:val="000B3A7D"/>
    <w:rsid w:val="000B3E46"/>
    <w:rsid w:val="000B798A"/>
    <w:rsid w:val="000C40CC"/>
    <w:rsid w:val="000C6AA2"/>
    <w:rsid w:val="000C6B08"/>
    <w:rsid w:val="000C74B9"/>
    <w:rsid w:val="000D22AA"/>
    <w:rsid w:val="000D266E"/>
    <w:rsid w:val="000D28D1"/>
    <w:rsid w:val="000D2B6C"/>
    <w:rsid w:val="000D2CDA"/>
    <w:rsid w:val="000D3E90"/>
    <w:rsid w:val="000D524E"/>
    <w:rsid w:val="000D67F4"/>
    <w:rsid w:val="000D6934"/>
    <w:rsid w:val="000E060A"/>
    <w:rsid w:val="000E0A5D"/>
    <w:rsid w:val="000E2B54"/>
    <w:rsid w:val="000E3465"/>
    <w:rsid w:val="000E637E"/>
    <w:rsid w:val="000E6C3A"/>
    <w:rsid w:val="000F1445"/>
    <w:rsid w:val="000F1FAA"/>
    <w:rsid w:val="000F3238"/>
    <w:rsid w:val="000F4C62"/>
    <w:rsid w:val="000F60F7"/>
    <w:rsid w:val="000F7856"/>
    <w:rsid w:val="00100413"/>
    <w:rsid w:val="00104C7B"/>
    <w:rsid w:val="00106AED"/>
    <w:rsid w:val="0010796A"/>
    <w:rsid w:val="00110DF7"/>
    <w:rsid w:val="00110F2F"/>
    <w:rsid w:val="00111170"/>
    <w:rsid w:val="00113F8C"/>
    <w:rsid w:val="001172A2"/>
    <w:rsid w:val="0012397B"/>
    <w:rsid w:val="001242F6"/>
    <w:rsid w:val="001244C2"/>
    <w:rsid w:val="00124BC0"/>
    <w:rsid w:val="00127331"/>
    <w:rsid w:val="00130E80"/>
    <w:rsid w:val="00131755"/>
    <w:rsid w:val="00132363"/>
    <w:rsid w:val="00133891"/>
    <w:rsid w:val="00135B28"/>
    <w:rsid w:val="00135C4F"/>
    <w:rsid w:val="00140D56"/>
    <w:rsid w:val="00140E13"/>
    <w:rsid w:val="0014291B"/>
    <w:rsid w:val="00142A69"/>
    <w:rsid w:val="00144095"/>
    <w:rsid w:val="00145989"/>
    <w:rsid w:val="001471DE"/>
    <w:rsid w:val="00147E8F"/>
    <w:rsid w:val="00150079"/>
    <w:rsid w:val="00154246"/>
    <w:rsid w:val="00154EBD"/>
    <w:rsid w:val="001555FB"/>
    <w:rsid w:val="00156365"/>
    <w:rsid w:val="0015755F"/>
    <w:rsid w:val="001623D3"/>
    <w:rsid w:val="00165778"/>
    <w:rsid w:val="001724F9"/>
    <w:rsid w:val="00172BAC"/>
    <w:rsid w:val="00172E2E"/>
    <w:rsid w:val="001750CA"/>
    <w:rsid w:val="001750E2"/>
    <w:rsid w:val="00175A7C"/>
    <w:rsid w:val="00177448"/>
    <w:rsid w:val="001776BF"/>
    <w:rsid w:val="00186958"/>
    <w:rsid w:val="001901D7"/>
    <w:rsid w:val="00192FA8"/>
    <w:rsid w:val="0019353A"/>
    <w:rsid w:val="00196ED0"/>
    <w:rsid w:val="001A0540"/>
    <w:rsid w:val="001A3D42"/>
    <w:rsid w:val="001A5843"/>
    <w:rsid w:val="001A58E5"/>
    <w:rsid w:val="001A5C05"/>
    <w:rsid w:val="001A781B"/>
    <w:rsid w:val="001B026E"/>
    <w:rsid w:val="001B37E3"/>
    <w:rsid w:val="001B512B"/>
    <w:rsid w:val="001B512D"/>
    <w:rsid w:val="001B6035"/>
    <w:rsid w:val="001C273E"/>
    <w:rsid w:val="001C2974"/>
    <w:rsid w:val="001C355F"/>
    <w:rsid w:val="001C743E"/>
    <w:rsid w:val="001D06E0"/>
    <w:rsid w:val="001D4CAE"/>
    <w:rsid w:val="001D7719"/>
    <w:rsid w:val="001D77CA"/>
    <w:rsid w:val="001E0940"/>
    <w:rsid w:val="001E5732"/>
    <w:rsid w:val="001E62A9"/>
    <w:rsid w:val="001E6A43"/>
    <w:rsid w:val="001E7862"/>
    <w:rsid w:val="001F12A8"/>
    <w:rsid w:val="001F3B02"/>
    <w:rsid w:val="001F4C67"/>
    <w:rsid w:val="001F569A"/>
    <w:rsid w:val="002009F6"/>
    <w:rsid w:val="00200CFB"/>
    <w:rsid w:val="00201331"/>
    <w:rsid w:val="0020156F"/>
    <w:rsid w:val="00201D6A"/>
    <w:rsid w:val="00202196"/>
    <w:rsid w:val="00202328"/>
    <w:rsid w:val="00202E75"/>
    <w:rsid w:val="00202FC0"/>
    <w:rsid w:val="00203C6D"/>
    <w:rsid w:val="002058C4"/>
    <w:rsid w:val="002076EF"/>
    <w:rsid w:val="0021099F"/>
    <w:rsid w:val="00210FBD"/>
    <w:rsid w:val="00213DF1"/>
    <w:rsid w:val="002140E9"/>
    <w:rsid w:val="0021571A"/>
    <w:rsid w:val="00215D0F"/>
    <w:rsid w:val="0022152D"/>
    <w:rsid w:val="00222764"/>
    <w:rsid w:val="00223A62"/>
    <w:rsid w:val="00223DD5"/>
    <w:rsid w:val="00226890"/>
    <w:rsid w:val="002275BF"/>
    <w:rsid w:val="00227C59"/>
    <w:rsid w:val="00230F45"/>
    <w:rsid w:val="00231BAA"/>
    <w:rsid w:val="00233371"/>
    <w:rsid w:val="00234F0E"/>
    <w:rsid w:val="0023700B"/>
    <w:rsid w:val="002373DC"/>
    <w:rsid w:val="0024020B"/>
    <w:rsid w:val="002411B3"/>
    <w:rsid w:val="002413FD"/>
    <w:rsid w:val="00241470"/>
    <w:rsid w:val="00245E61"/>
    <w:rsid w:val="00246DDD"/>
    <w:rsid w:val="00251F5C"/>
    <w:rsid w:val="00252232"/>
    <w:rsid w:val="00252821"/>
    <w:rsid w:val="00252C57"/>
    <w:rsid w:val="0026045F"/>
    <w:rsid w:val="00260699"/>
    <w:rsid w:val="002625EC"/>
    <w:rsid w:val="002731A3"/>
    <w:rsid w:val="00276E7B"/>
    <w:rsid w:val="00277867"/>
    <w:rsid w:val="002819BB"/>
    <w:rsid w:val="00281AF7"/>
    <w:rsid w:val="002843A1"/>
    <w:rsid w:val="0029055E"/>
    <w:rsid w:val="00290561"/>
    <w:rsid w:val="00292A27"/>
    <w:rsid w:val="00293E6D"/>
    <w:rsid w:val="00293F25"/>
    <w:rsid w:val="00295071"/>
    <w:rsid w:val="00295875"/>
    <w:rsid w:val="00295BD0"/>
    <w:rsid w:val="002966A4"/>
    <w:rsid w:val="002A0BCE"/>
    <w:rsid w:val="002A0F57"/>
    <w:rsid w:val="002A2962"/>
    <w:rsid w:val="002A3380"/>
    <w:rsid w:val="002A3CCB"/>
    <w:rsid w:val="002A4100"/>
    <w:rsid w:val="002A43C2"/>
    <w:rsid w:val="002A50CB"/>
    <w:rsid w:val="002A5342"/>
    <w:rsid w:val="002A59BA"/>
    <w:rsid w:val="002A5D84"/>
    <w:rsid w:val="002A6FCA"/>
    <w:rsid w:val="002A7250"/>
    <w:rsid w:val="002A79E2"/>
    <w:rsid w:val="002A7FF5"/>
    <w:rsid w:val="002B373F"/>
    <w:rsid w:val="002B6D65"/>
    <w:rsid w:val="002B6F8B"/>
    <w:rsid w:val="002B724B"/>
    <w:rsid w:val="002C2BDF"/>
    <w:rsid w:val="002C341B"/>
    <w:rsid w:val="002C462C"/>
    <w:rsid w:val="002C4F0B"/>
    <w:rsid w:val="002D0968"/>
    <w:rsid w:val="002D10C2"/>
    <w:rsid w:val="002D1AC2"/>
    <w:rsid w:val="002D26EB"/>
    <w:rsid w:val="002D44BF"/>
    <w:rsid w:val="002D65C7"/>
    <w:rsid w:val="002E15C4"/>
    <w:rsid w:val="002E3BB8"/>
    <w:rsid w:val="002F3061"/>
    <w:rsid w:val="002F40D7"/>
    <w:rsid w:val="002F4538"/>
    <w:rsid w:val="002F552F"/>
    <w:rsid w:val="002F5F58"/>
    <w:rsid w:val="002F6868"/>
    <w:rsid w:val="003014D2"/>
    <w:rsid w:val="00303798"/>
    <w:rsid w:val="00303AAE"/>
    <w:rsid w:val="00303BE5"/>
    <w:rsid w:val="00307121"/>
    <w:rsid w:val="003113D6"/>
    <w:rsid w:val="00314C62"/>
    <w:rsid w:val="003168CC"/>
    <w:rsid w:val="003171CB"/>
    <w:rsid w:val="0032128C"/>
    <w:rsid w:val="00321845"/>
    <w:rsid w:val="003230D7"/>
    <w:rsid w:val="0032331E"/>
    <w:rsid w:val="0032464F"/>
    <w:rsid w:val="00324759"/>
    <w:rsid w:val="00324C06"/>
    <w:rsid w:val="00325758"/>
    <w:rsid w:val="00325DC7"/>
    <w:rsid w:val="00330861"/>
    <w:rsid w:val="0033459B"/>
    <w:rsid w:val="0033600D"/>
    <w:rsid w:val="00336836"/>
    <w:rsid w:val="00337A3E"/>
    <w:rsid w:val="00340079"/>
    <w:rsid w:val="003402AC"/>
    <w:rsid w:val="00340B92"/>
    <w:rsid w:val="00341901"/>
    <w:rsid w:val="003436A6"/>
    <w:rsid w:val="00343A57"/>
    <w:rsid w:val="00343BE0"/>
    <w:rsid w:val="00345322"/>
    <w:rsid w:val="00345855"/>
    <w:rsid w:val="00346478"/>
    <w:rsid w:val="00346EEA"/>
    <w:rsid w:val="0035107D"/>
    <w:rsid w:val="0035153F"/>
    <w:rsid w:val="00351816"/>
    <w:rsid w:val="00351B66"/>
    <w:rsid w:val="00352CA8"/>
    <w:rsid w:val="00353893"/>
    <w:rsid w:val="00360ABA"/>
    <w:rsid w:val="003614FF"/>
    <w:rsid w:val="003620F3"/>
    <w:rsid w:val="003632C8"/>
    <w:rsid w:val="003638C4"/>
    <w:rsid w:val="00363FC7"/>
    <w:rsid w:val="003641DE"/>
    <w:rsid w:val="00370DA0"/>
    <w:rsid w:val="00371B41"/>
    <w:rsid w:val="003730E5"/>
    <w:rsid w:val="00382723"/>
    <w:rsid w:val="00382E62"/>
    <w:rsid w:val="00382FB7"/>
    <w:rsid w:val="00391BED"/>
    <w:rsid w:val="003945B4"/>
    <w:rsid w:val="00394A17"/>
    <w:rsid w:val="00397256"/>
    <w:rsid w:val="003A270E"/>
    <w:rsid w:val="003A2EC6"/>
    <w:rsid w:val="003A5554"/>
    <w:rsid w:val="003A61A3"/>
    <w:rsid w:val="003A6862"/>
    <w:rsid w:val="003A6D62"/>
    <w:rsid w:val="003A726A"/>
    <w:rsid w:val="003A7DEB"/>
    <w:rsid w:val="003B3995"/>
    <w:rsid w:val="003C269B"/>
    <w:rsid w:val="003C7E86"/>
    <w:rsid w:val="003D0AE1"/>
    <w:rsid w:val="003D1E96"/>
    <w:rsid w:val="003D2C6F"/>
    <w:rsid w:val="003D3CD4"/>
    <w:rsid w:val="003E09E2"/>
    <w:rsid w:val="003E3540"/>
    <w:rsid w:val="003E37FE"/>
    <w:rsid w:val="003F283A"/>
    <w:rsid w:val="003F5276"/>
    <w:rsid w:val="003F57A7"/>
    <w:rsid w:val="003F74A4"/>
    <w:rsid w:val="004006A9"/>
    <w:rsid w:val="00401AFD"/>
    <w:rsid w:val="00401ECF"/>
    <w:rsid w:val="00403BDE"/>
    <w:rsid w:val="00407151"/>
    <w:rsid w:val="00411F5C"/>
    <w:rsid w:val="00412ACA"/>
    <w:rsid w:val="00412FD5"/>
    <w:rsid w:val="00413BB6"/>
    <w:rsid w:val="00416DFE"/>
    <w:rsid w:val="00416F2F"/>
    <w:rsid w:val="00417AC9"/>
    <w:rsid w:val="004228FC"/>
    <w:rsid w:val="00426AA7"/>
    <w:rsid w:val="00426B78"/>
    <w:rsid w:val="004272D3"/>
    <w:rsid w:val="00431764"/>
    <w:rsid w:val="004324B3"/>
    <w:rsid w:val="00432693"/>
    <w:rsid w:val="0043415B"/>
    <w:rsid w:val="00434AFA"/>
    <w:rsid w:val="004365CE"/>
    <w:rsid w:val="004366DA"/>
    <w:rsid w:val="0044462E"/>
    <w:rsid w:val="004448C4"/>
    <w:rsid w:val="0044560F"/>
    <w:rsid w:val="00445CE1"/>
    <w:rsid w:val="00455195"/>
    <w:rsid w:val="00455627"/>
    <w:rsid w:val="004569DD"/>
    <w:rsid w:val="004612B2"/>
    <w:rsid w:val="0046200B"/>
    <w:rsid w:val="00465F19"/>
    <w:rsid w:val="0047000D"/>
    <w:rsid w:val="004710ED"/>
    <w:rsid w:val="00473425"/>
    <w:rsid w:val="00473C46"/>
    <w:rsid w:val="00473C68"/>
    <w:rsid w:val="00475B16"/>
    <w:rsid w:val="004762A8"/>
    <w:rsid w:val="00476D9D"/>
    <w:rsid w:val="00480E03"/>
    <w:rsid w:val="00482433"/>
    <w:rsid w:val="00482B86"/>
    <w:rsid w:val="00484CE0"/>
    <w:rsid w:val="00484FA2"/>
    <w:rsid w:val="00485A82"/>
    <w:rsid w:val="0048659C"/>
    <w:rsid w:val="00490472"/>
    <w:rsid w:val="0049106D"/>
    <w:rsid w:val="00491C20"/>
    <w:rsid w:val="004926CA"/>
    <w:rsid w:val="0049274B"/>
    <w:rsid w:val="0049394D"/>
    <w:rsid w:val="004950DE"/>
    <w:rsid w:val="004953B2"/>
    <w:rsid w:val="00496E13"/>
    <w:rsid w:val="00497EAA"/>
    <w:rsid w:val="004A20C3"/>
    <w:rsid w:val="004A2453"/>
    <w:rsid w:val="004A4E67"/>
    <w:rsid w:val="004A7FE3"/>
    <w:rsid w:val="004B0C6E"/>
    <w:rsid w:val="004B3F89"/>
    <w:rsid w:val="004B4485"/>
    <w:rsid w:val="004B5A85"/>
    <w:rsid w:val="004C3C7F"/>
    <w:rsid w:val="004C58CB"/>
    <w:rsid w:val="004C7418"/>
    <w:rsid w:val="004D01FC"/>
    <w:rsid w:val="004D15E4"/>
    <w:rsid w:val="004D33E4"/>
    <w:rsid w:val="004D4028"/>
    <w:rsid w:val="004D4A51"/>
    <w:rsid w:val="004D502B"/>
    <w:rsid w:val="004D5056"/>
    <w:rsid w:val="004D6833"/>
    <w:rsid w:val="004D720D"/>
    <w:rsid w:val="004D72E4"/>
    <w:rsid w:val="004E1F7D"/>
    <w:rsid w:val="004E3DE4"/>
    <w:rsid w:val="004E448F"/>
    <w:rsid w:val="004F1CBF"/>
    <w:rsid w:val="004F4E77"/>
    <w:rsid w:val="004F5FCD"/>
    <w:rsid w:val="005004CE"/>
    <w:rsid w:val="00500593"/>
    <w:rsid w:val="00502390"/>
    <w:rsid w:val="00503395"/>
    <w:rsid w:val="0050724A"/>
    <w:rsid w:val="00510604"/>
    <w:rsid w:val="00510CF3"/>
    <w:rsid w:val="00512700"/>
    <w:rsid w:val="00515291"/>
    <w:rsid w:val="0051555F"/>
    <w:rsid w:val="00516A4F"/>
    <w:rsid w:val="00517B56"/>
    <w:rsid w:val="005207E7"/>
    <w:rsid w:val="00523BED"/>
    <w:rsid w:val="00523F53"/>
    <w:rsid w:val="00525ED4"/>
    <w:rsid w:val="00526CC5"/>
    <w:rsid w:val="00526E39"/>
    <w:rsid w:val="005271F8"/>
    <w:rsid w:val="00527D18"/>
    <w:rsid w:val="00530D06"/>
    <w:rsid w:val="005317EC"/>
    <w:rsid w:val="00532492"/>
    <w:rsid w:val="00533CCC"/>
    <w:rsid w:val="00533CE5"/>
    <w:rsid w:val="005410B5"/>
    <w:rsid w:val="00541EDB"/>
    <w:rsid w:val="00542614"/>
    <w:rsid w:val="00543023"/>
    <w:rsid w:val="00545337"/>
    <w:rsid w:val="00545DEF"/>
    <w:rsid w:val="00547D36"/>
    <w:rsid w:val="005505C1"/>
    <w:rsid w:val="005512CD"/>
    <w:rsid w:val="00553E2F"/>
    <w:rsid w:val="005574D8"/>
    <w:rsid w:val="00560D05"/>
    <w:rsid w:val="00561306"/>
    <w:rsid w:val="005618A2"/>
    <w:rsid w:val="00561C2A"/>
    <w:rsid w:val="005628AF"/>
    <w:rsid w:val="0056529D"/>
    <w:rsid w:val="00566417"/>
    <w:rsid w:val="0056699E"/>
    <w:rsid w:val="00574213"/>
    <w:rsid w:val="00574552"/>
    <w:rsid w:val="00577292"/>
    <w:rsid w:val="00577CC2"/>
    <w:rsid w:val="00581350"/>
    <w:rsid w:val="00582420"/>
    <w:rsid w:val="00582F28"/>
    <w:rsid w:val="00583A1E"/>
    <w:rsid w:val="005849C7"/>
    <w:rsid w:val="00587133"/>
    <w:rsid w:val="005900B6"/>
    <w:rsid w:val="00591285"/>
    <w:rsid w:val="005918FD"/>
    <w:rsid w:val="005936A7"/>
    <w:rsid w:val="00595276"/>
    <w:rsid w:val="00597435"/>
    <w:rsid w:val="005A2682"/>
    <w:rsid w:val="005A4DFD"/>
    <w:rsid w:val="005A5077"/>
    <w:rsid w:val="005A5CB1"/>
    <w:rsid w:val="005A675C"/>
    <w:rsid w:val="005B3B8C"/>
    <w:rsid w:val="005B507E"/>
    <w:rsid w:val="005C056F"/>
    <w:rsid w:val="005C1F9D"/>
    <w:rsid w:val="005C4C68"/>
    <w:rsid w:val="005C4FE6"/>
    <w:rsid w:val="005C6D50"/>
    <w:rsid w:val="005D027F"/>
    <w:rsid w:val="005D3438"/>
    <w:rsid w:val="005D5D0A"/>
    <w:rsid w:val="005E2C24"/>
    <w:rsid w:val="005E749E"/>
    <w:rsid w:val="005F3A4E"/>
    <w:rsid w:val="005F4BA2"/>
    <w:rsid w:val="00600A40"/>
    <w:rsid w:val="0060150D"/>
    <w:rsid w:val="006023EB"/>
    <w:rsid w:val="00603D7F"/>
    <w:rsid w:val="00605CAD"/>
    <w:rsid w:val="00607BE2"/>
    <w:rsid w:val="0061058C"/>
    <w:rsid w:val="00610B88"/>
    <w:rsid w:val="00611D0E"/>
    <w:rsid w:val="00613C93"/>
    <w:rsid w:val="006143E3"/>
    <w:rsid w:val="0062062D"/>
    <w:rsid w:val="0062161F"/>
    <w:rsid w:val="00621726"/>
    <w:rsid w:val="0062458D"/>
    <w:rsid w:val="00625312"/>
    <w:rsid w:val="0062542A"/>
    <w:rsid w:val="00626A0E"/>
    <w:rsid w:val="00626DE0"/>
    <w:rsid w:val="00626F06"/>
    <w:rsid w:val="006270B3"/>
    <w:rsid w:val="006326B2"/>
    <w:rsid w:val="006355DC"/>
    <w:rsid w:val="00636452"/>
    <w:rsid w:val="006406A1"/>
    <w:rsid w:val="00642661"/>
    <w:rsid w:val="00642DCE"/>
    <w:rsid w:val="006436A0"/>
    <w:rsid w:val="00647643"/>
    <w:rsid w:val="00647D8C"/>
    <w:rsid w:val="006529A3"/>
    <w:rsid w:val="00655EE1"/>
    <w:rsid w:val="0065650E"/>
    <w:rsid w:val="006607AD"/>
    <w:rsid w:val="00660850"/>
    <w:rsid w:val="00666ECD"/>
    <w:rsid w:val="00667DF5"/>
    <w:rsid w:val="00671844"/>
    <w:rsid w:val="00674EF5"/>
    <w:rsid w:val="00674FC5"/>
    <w:rsid w:val="006753FC"/>
    <w:rsid w:val="0068193A"/>
    <w:rsid w:val="006829C4"/>
    <w:rsid w:val="0068790E"/>
    <w:rsid w:val="0069004C"/>
    <w:rsid w:val="00691018"/>
    <w:rsid w:val="0069154D"/>
    <w:rsid w:val="0069252F"/>
    <w:rsid w:val="00693234"/>
    <w:rsid w:val="00694105"/>
    <w:rsid w:val="006946EA"/>
    <w:rsid w:val="00694711"/>
    <w:rsid w:val="00694D8D"/>
    <w:rsid w:val="00696D6E"/>
    <w:rsid w:val="006979AC"/>
    <w:rsid w:val="00697A2B"/>
    <w:rsid w:val="006A114E"/>
    <w:rsid w:val="006A2365"/>
    <w:rsid w:val="006A4AAA"/>
    <w:rsid w:val="006B0026"/>
    <w:rsid w:val="006B06B8"/>
    <w:rsid w:val="006B13AE"/>
    <w:rsid w:val="006B24A8"/>
    <w:rsid w:val="006B369D"/>
    <w:rsid w:val="006B6A04"/>
    <w:rsid w:val="006B7E13"/>
    <w:rsid w:val="006C38CB"/>
    <w:rsid w:val="006C4A39"/>
    <w:rsid w:val="006C6C22"/>
    <w:rsid w:val="006D113E"/>
    <w:rsid w:val="006D2D28"/>
    <w:rsid w:val="006D3296"/>
    <w:rsid w:val="006D3336"/>
    <w:rsid w:val="006D379D"/>
    <w:rsid w:val="006D3F7A"/>
    <w:rsid w:val="006D5692"/>
    <w:rsid w:val="006D7AE9"/>
    <w:rsid w:val="006E08FD"/>
    <w:rsid w:val="006E2110"/>
    <w:rsid w:val="006E389D"/>
    <w:rsid w:val="006E43DA"/>
    <w:rsid w:val="006E7765"/>
    <w:rsid w:val="006F0527"/>
    <w:rsid w:val="006F0A6C"/>
    <w:rsid w:val="006F3512"/>
    <w:rsid w:val="006F5991"/>
    <w:rsid w:val="006F5FC2"/>
    <w:rsid w:val="006F780F"/>
    <w:rsid w:val="00700B17"/>
    <w:rsid w:val="00701184"/>
    <w:rsid w:val="007014E3"/>
    <w:rsid w:val="00702237"/>
    <w:rsid w:val="00702A4C"/>
    <w:rsid w:val="00703337"/>
    <w:rsid w:val="00703395"/>
    <w:rsid w:val="00705242"/>
    <w:rsid w:val="007102CD"/>
    <w:rsid w:val="00714817"/>
    <w:rsid w:val="00714AD7"/>
    <w:rsid w:val="00714F71"/>
    <w:rsid w:val="00715C49"/>
    <w:rsid w:val="00716148"/>
    <w:rsid w:val="00720237"/>
    <w:rsid w:val="00724C58"/>
    <w:rsid w:val="0072595B"/>
    <w:rsid w:val="0072648E"/>
    <w:rsid w:val="007309F9"/>
    <w:rsid w:val="00732107"/>
    <w:rsid w:val="007329F7"/>
    <w:rsid w:val="0073461A"/>
    <w:rsid w:val="00736703"/>
    <w:rsid w:val="00744889"/>
    <w:rsid w:val="00744E8F"/>
    <w:rsid w:val="00750B16"/>
    <w:rsid w:val="007523F3"/>
    <w:rsid w:val="00754BCA"/>
    <w:rsid w:val="0075537D"/>
    <w:rsid w:val="0075546A"/>
    <w:rsid w:val="007557C0"/>
    <w:rsid w:val="0075595A"/>
    <w:rsid w:val="00761FBC"/>
    <w:rsid w:val="00762B7B"/>
    <w:rsid w:val="007649B9"/>
    <w:rsid w:val="00766900"/>
    <w:rsid w:val="00766D3C"/>
    <w:rsid w:val="00767EEE"/>
    <w:rsid w:val="00770EB5"/>
    <w:rsid w:val="007727BA"/>
    <w:rsid w:val="00774AB4"/>
    <w:rsid w:val="007757F1"/>
    <w:rsid w:val="00775A8F"/>
    <w:rsid w:val="007773A7"/>
    <w:rsid w:val="0078100C"/>
    <w:rsid w:val="007810E5"/>
    <w:rsid w:val="0078116E"/>
    <w:rsid w:val="0078233A"/>
    <w:rsid w:val="007842CD"/>
    <w:rsid w:val="00790620"/>
    <w:rsid w:val="00791A33"/>
    <w:rsid w:val="0079206C"/>
    <w:rsid w:val="007936EA"/>
    <w:rsid w:val="00793F5C"/>
    <w:rsid w:val="00795AA9"/>
    <w:rsid w:val="00796250"/>
    <w:rsid w:val="00797D24"/>
    <w:rsid w:val="007A235D"/>
    <w:rsid w:val="007A5B2C"/>
    <w:rsid w:val="007A5B44"/>
    <w:rsid w:val="007B1692"/>
    <w:rsid w:val="007B4CD9"/>
    <w:rsid w:val="007B6996"/>
    <w:rsid w:val="007C065C"/>
    <w:rsid w:val="007C1297"/>
    <w:rsid w:val="007C14B2"/>
    <w:rsid w:val="007C221F"/>
    <w:rsid w:val="007C3226"/>
    <w:rsid w:val="007C63B5"/>
    <w:rsid w:val="007D0527"/>
    <w:rsid w:val="007D05F1"/>
    <w:rsid w:val="007D29FD"/>
    <w:rsid w:val="007D3CC1"/>
    <w:rsid w:val="007D6472"/>
    <w:rsid w:val="007D7397"/>
    <w:rsid w:val="007E0424"/>
    <w:rsid w:val="007E36E3"/>
    <w:rsid w:val="007E43ED"/>
    <w:rsid w:val="007E4826"/>
    <w:rsid w:val="007E63C9"/>
    <w:rsid w:val="007E6578"/>
    <w:rsid w:val="007E67E6"/>
    <w:rsid w:val="007E7C15"/>
    <w:rsid w:val="007F0ABE"/>
    <w:rsid w:val="007F12B3"/>
    <w:rsid w:val="007F26DC"/>
    <w:rsid w:val="008006E6"/>
    <w:rsid w:val="00800F2C"/>
    <w:rsid w:val="00802A94"/>
    <w:rsid w:val="0080428F"/>
    <w:rsid w:val="008055E1"/>
    <w:rsid w:val="0080653F"/>
    <w:rsid w:val="00806C32"/>
    <w:rsid w:val="00807727"/>
    <w:rsid w:val="00812830"/>
    <w:rsid w:val="00817ADE"/>
    <w:rsid w:val="00823EDB"/>
    <w:rsid w:val="00824BDC"/>
    <w:rsid w:val="008263F0"/>
    <w:rsid w:val="0082662E"/>
    <w:rsid w:val="00827A66"/>
    <w:rsid w:val="00827F56"/>
    <w:rsid w:val="0083057E"/>
    <w:rsid w:val="00832891"/>
    <w:rsid w:val="008337DF"/>
    <w:rsid w:val="00833A42"/>
    <w:rsid w:val="00834CC1"/>
    <w:rsid w:val="008355D6"/>
    <w:rsid w:val="00837AC1"/>
    <w:rsid w:val="00840097"/>
    <w:rsid w:val="00840374"/>
    <w:rsid w:val="008413DB"/>
    <w:rsid w:val="00842021"/>
    <w:rsid w:val="008454B8"/>
    <w:rsid w:val="00845812"/>
    <w:rsid w:val="008470E2"/>
    <w:rsid w:val="00847DFC"/>
    <w:rsid w:val="008519B9"/>
    <w:rsid w:val="00851DF3"/>
    <w:rsid w:val="00852D6B"/>
    <w:rsid w:val="00854726"/>
    <w:rsid w:val="00855656"/>
    <w:rsid w:val="00857598"/>
    <w:rsid w:val="0086087E"/>
    <w:rsid w:val="00861713"/>
    <w:rsid w:val="00862082"/>
    <w:rsid w:val="008638C3"/>
    <w:rsid w:val="0086474B"/>
    <w:rsid w:val="00864B5B"/>
    <w:rsid w:val="0086711A"/>
    <w:rsid w:val="008705F6"/>
    <w:rsid w:val="00871183"/>
    <w:rsid w:val="00872744"/>
    <w:rsid w:val="00873005"/>
    <w:rsid w:val="0087488E"/>
    <w:rsid w:val="00874A92"/>
    <w:rsid w:val="00874AFE"/>
    <w:rsid w:val="00874FB1"/>
    <w:rsid w:val="008750AB"/>
    <w:rsid w:val="00875770"/>
    <w:rsid w:val="00876AAE"/>
    <w:rsid w:val="008774BC"/>
    <w:rsid w:val="0088163C"/>
    <w:rsid w:val="00881833"/>
    <w:rsid w:val="00882A9D"/>
    <w:rsid w:val="008836B8"/>
    <w:rsid w:val="00885874"/>
    <w:rsid w:val="00886542"/>
    <w:rsid w:val="008865CF"/>
    <w:rsid w:val="00886C92"/>
    <w:rsid w:val="00893AAF"/>
    <w:rsid w:val="00895E86"/>
    <w:rsid w:val="00897088"/>
    <w:rsid w:val="008A08B9"/>
    <w:rsid w:val="008A08BC"/>
    <w:rsid w:val="008A1A4A"/>
    <w:rsid w:val="008A257B"/>
    <w:rsid w:val="008A527B"/>
    <w:rsid w:val="008A52BC"/>
    <w:rsid w:val="008A6220"/>
    <w:rsid w:val="008A6FB3"/>
    <w:rsid w:val="008A720A"/>
    <w:rsid w:val="008A772C"/>
    <w:rsid w:val="008B108D"/>
    <w:rsid w:val="008B2575"/>
    <w:rsid w:val="008B3BDC"/>
    <w:rsid w:val="008B4A17"/>
    <w:rsid w:val="008B548B"/>
    <w:rsid w:val="008C02F2"/>
    <w:rsid w:val="008C0E14"/>
    <w:rsid w:val="008C1D07"/>
    <w:rsid w:val="008C2780"/>
    <w:rsid w:val="008C3471"/>
    <w:rsid w:val="008D1E6F"/>
    <w:rsid w:val="008D237A"/>
    <w:rsid w:val="008D58AD"/>
    <w:rsid w:val="008E21DE"/>
    <w:rsid w:val="008E4EF4"/>
    <w:rsid w:val="008E516C"/>
    <w:rsid w:val="008E5401"/>
    <w:rsid w:val="008E57E8"/>
    <w:rsid w:val="008E6015"/>
    <w:rsid w:val="008E756E"/>
    <w:rsid w:val="008F4A11"/>
    <w:rsid w:val="008F586C"/>
    <w:rsid w:val="008F758E"/>
    <w:rsid w:val="008F7614"/>
    <w:rsid w:val="008F7B32"/>
    <w:rsid w:val="00900BF0"/>
    <w:rsid w:val="00902782"/>
    <w:rsid w:val="00903E30"/>
    <w:rsid w:val="009121A7"/>
    <w:rsid w:val="009203D9"/>
    <w:rsid w:val="00921D3C"/>
    <w:rsid w:val="00923E63"/>
    <w:rsid w:val="009248D6"/>
    <w:rsid w:val="00925091"/>
    <w:rsid w:val="009250EC"/>
    <w:rsid w:val="0092648F"/>
    <w:rsid w:val="00926885"/>
    <w:rsid w:val="00930AB2"/>
    <w:rsid w:val="009346B7"/>
    <w:rsid w:val="00934E17"/>
    <w:rsid w:val="00936C7A"/>
    <w:rsid w:val="0094091D"/>
    <w:rsid w:val="00941D37"/>
    <w:rsid w:val="009432FC"/>
    <w:rsid w:val="009435FF"/>
    <w:rsid w:val="009532BF"/>
    <w:rsid w:val="009561C0"/>
    <w:rsid w:val="009606C4"/>
    <w:rsid w:val="00962135"/>
    <w:rsid w:val="0096373C"/>
    <w:rsid w:val="00966E3D"/>
    <w:rsid w:val="00972AA1"/>
    <w:rsid w:val="00975372"/>
    <w:rsid w:val="0097678D"/>
    <w:rsid w:val="009817C6"/>
    <w:rsid w:val="0098234A"/>
    <w:rsid w:val="00984035"/>
    <w:rsid w:val="00984A93"/>
    <w:rsid w:val="00984DEA"/>
    <w:rsid w:val="0099169F"/>
    <w:rsid w:val="00994F9F"/>
    <w:rsid w:val="0099680E"/>
    <w:rsid w:val="0099787B"/>
    <w:rsid w:val="009A1CCE"/>
    <w:rsid w:val="009A2FFA"/>
    <w:rsid w:val="009A3778"/>
    <w:rsid w:val="009A51E2"/>
    <w:rsid w:val="009A67F3"/>
    <w:rsid w:val="009A6B7F"/>
    <w:rsid w:val="009A70CE"/>
    <w:rsid w:val="009A7550"/>
    <w:rsid w:val="009A7733"/>
    <w:rsid w:val="009B05BB"/>
    <w:rsid w:val="009B0BFD"/>
    <w:rsid w:val="009B0E4F"/>
    <w:rsid w:val="009B32C7"/>
    <w:rsid w:val="009C27F2"/>
    <w:rsid w:val="009C2C9D"/>
    <w:rsid w:val="009C6D60"/>
    <w:rsid w:val="009D1E65"/>
    <w:rsid w:val="009D2B40"/>
    <w:rsid w:val="009D6DB3"/>
    <w:rsid w:val="009E16BB"/>
    <w:rsid w:val="009E2465"/>
    <w:rsid w:val="009E45F1"/>
    <w:rsid w:val="009E56F3"/>
    <w:rsid w:val="009E693B"/>
    <w:rsid w:val="009E7C46"/>
    <w:rsid w:val="009F25FE"/>
    <w:rsid w:val="009F442A"/>
    <w:rsid w:val="009F5992"/>
    <w:rsid w:val="009F6180"/>
    <w:rsid w:val="00A000BA"/>
    <w:rsid w:val="00A0207B"/>
    <w:rsid w:val="00A028A8"/>
    <w:rsid w:val="00A04968"/>
    <w:rsid w:val="00A101C3"/>
    <w:rsid w:val="00A10C12"/>
    <w:rsid w:val="00A143B5"/>
    <w:rsid w:val="00A14FCC"/>
    <w:rsid w:val="00A22DC0"/>
    <w:rsid w:val="00A22EFB"/>
    <w:rsid w:val="00A247CE"/>
    <w:rsid w:val="00A26157"/>
    <w:rsid w:val="00A2652A"/>
    <w:rsid w:val="00A307FA"/>
    <w:rsid w:val="00A35149"/>
    <w:rsid w:val="00A37281"/>
    <w:rsid w:val="00A37C1C"/>
    <w:rsid w:val="00A42580"/>
    <w:rsid w:val="00A4265E"/>
    <w:rsid w:val="00A42A7D"/>
    <w:rsid w:val="00A42B1E"/>
    <w:rsid w:val="00A42FB7"/>
    <w:rsid w:val="00A4767E"/>
    <w:rsid w:val="00A53768"/>
    <w:rsid w:val="00A54B7E"/>
    <w:rsid w:val="00A54EEF"/>
    <w:rsid w:val="00A567FA"/>
    <w:rsid w:val="00A57496"/>
    <w:rsid w:val="00A57A51"/>
    <w:rsid w:val="00A57B27"/>
    <w:rsid w:val="00A57CA7"/>
    <w:rsid w:val="00A60A3F"/>
    <w:rsid w:val="00A63BDC"/>
    <w:rsid w:val="00A676A0"/>
    <w:rsid w:val="00A74C24"/>
    <w:rsid w:val="00A773A1"/>
    <w:rsid w:val="00A829BF"/>
    <w:rsid w:val="00A82E03"/>
    <w:rsid w:val="00A92665"/>
    <w:rsid w:val="00A92C3A"/>
    <w:rsid w:val="00A92D1C"/>
    <w:rsid w:val="00A943E1"/>
    <w:rsid w:val="00A94D41"/>
    <w:rsid w:val="00A96221"/>
    <w:rsid w:val="00A96C9C"/>
    <w:rsid w:val="00AA002A"/>
    <w:rsid w:val="00AA06FD"/>
    <w:rsid w:val="00AA0BA6"/>
    <w:rsid w:val="00AA2E4F"/>
    <w:rsid w:val="00AA5F4B"/>
    <w:rsid w:val="00AB029D"/>
    <w:rsid w:val="00AB36C3"/>
    <w:rsid w:val="00AB43CA"/>
    <w:rsid w:val="00AB4556"/>
    <w:rsid w:val="00AB70B2"/>
    <w:rsid w:val="00AC0564"/>
    <w:rsid w:val="00AC6D03"/>
    <w:rsid w:val="00AD0244"/>
    <w:rsid w:val="00AD1A84"/>
    <w:rsid w:val="00AD2C75"/>
    <w:rsid w:val="00AD3322"/>
    <w:rsid w:val="00AD7B88"/>
    <w:rsid w:val="00AE0418"/>
    <w:rsid w:val="00AE2524"/>
    <w:rsid w:val="00AE2A34"/>
    <w:rsid w:val="00AE32A3"/>
    <w:rsid w:val="00AE3EDB"/>
    <w:rsid w:val="00AE58C5"/>
    <w:rsid w:val="00AF07F0"/>
    <w:rsid w:val="00AF3977"/>
    <w:rsid w:val="00AF53F7"/>
    <w:rsid w:val="00AF5ADE"/>
    <w:rsid w:val="00B02BE0"/>
    <w:rsid w:val="00B042B3"/>
    <w:rsid w:val="00B043FD"/>
    <w:rsid w:val="00B05D02"/>
    <w:rsid w:val="00B0600E"/>
    <w:rsid w:val="00B07572"/>
    <w:rsid w:val="00B11ECA"/>
    <w:rsid w:val="00B129CD"/>
    <w:rsid w:val="00B12E48"/>
    <w:rsid w:val="00B1334E"/>
    <w:rsid w:val="00B16927"/>
    <w:rsid w:val="00B1790B"/>
    <w:rsid w:val="00B21E9A"/>
    <w:rsid w:val="00B24289"/>
    <w:rsid w:val="00B25056"/>
    <w:rsid w:val="00B25D1F"/>
    <w:rsid w:val="00B25D9A"/>
    <w:rsid w:val="00B26258"/>
    <w:rsid w:val="00B26D0C"/>
    <w:rsid w:val="00B279F5"/>
    <w:rsid w:val="00B33500"/>
    <w:rsid w:val="00B364DE"/>
    <w:rsid w:val="00B36E8A"/>
    <w:rsid w:val="00B401D3"/>
    <w:rsid w:val="00B43AC9"/>
    <w:rsid w:val="00B43F9F"/>
    <w:rsid w:val="00B44099"/>
    <w:rsid w:val="00B44240"/>
    <w:rsid w:val="00B47675"/>
    <w:rsid w:val="00B50536"/>
    <w:rsid w:val="00B50E26"/>
    <w:rsid w:val="00B546D3"/>
    <w:rsid w:val="00B548B5"/>
    <w:rsid w:val="00B558E3"/>
    <w:rsid w:val="00B55FD6"/>
    <w:rsid w:val="00B61A71"/>
    <w:rsid w:val="00B61CCC"/>
    <w:rsid w:val="00B61D76"/>
    <w:rsid w:val="00B6255B"/>
    <w:rsid w:val="00B6309D"/>
    <w:rsid w:val="00B7016A"/>
    <w:rsid w:val="00B7530E"/>
    <w:rsid w:val="00B75C51"/>
    <w:rsid w:val="00B76C5B"/>
    <w:rsid w:val="00B80A3F"/>
    <w:rsid w:val="00B823D9"/>
    <w:rsid w:val="00B868A3"/>
    <w:rsid w:val="00B86D93"/>
    <w:rsid w:val="00B90249"/>
    <w:rsid w:val="00B91BB2"/>
    <w:rsid w:val="00B93EBB"/>
    <w:rsid w:val="00B959A9"/>
    <w:rsid w:val="00B964A6"/>
    <w:rsid w:val="00BA2355"/>
    <w:rsid w:val="00BA2B02"/>
    <w:rsid w:val="00BA420D"/>
    <w:rsid w:val="00BA4FB4"/>
    <w:rsid w:val="00BA5E29"/>
    <w:rsid w:val="00BA6422"/>
    <w:rsid w:val="00BA660D"/>
    <w:rsid w:val="00BB3D45"/>
    <w:rsid w:val="00BB7134"/>
    <w:rsid w:val="00BC058B"/>
    <w:rsid w:val="00BC0A6F"/>
    <w:rsid w:val="00BC15B1"/>
    <w:rsid w:val="00BC3547"/>
    <w:rsid w:val="00BD0742"/>
    <w:rsid w:val="00BD090C"/>
    <w:rsid w:val="00BD09C9"/>
    <w:rsid w:val="00BD12EF"/>
    <w:rsid w:val="00BE1355"/>
    <w:rsid w:val="00BE2B32"/>
    <w:rsid w:val="00BE3EA6"/>
    <w:rsid w:val="00BE4187"/>
    <w:rsid w:val="00BF2D1B"/>
    <w:rsid w:val="00BF33DE"/>
    <w:rsid w:val="00BF4BA1"/>
    <w:rsid w:val="00BF57BB"/>
    <w:rsid w:val="00BF642C"/>
    <w:rsid w:val="00C0021D"/>
    <w:rsid w:val="00C01BB5"/>
    <w:rsid w:val="00C0261F"/>
    <w:rsid w:val="00C04911"/>
    <w:rsid w:val="00C05FB1"/>
    <w:rsid w:val="00C065F1"/>
    <w:rsid w:val="00C104CE"/>
    <w:rsid w:val="00C1209F"/>
    <w:rsid w:val="00C14BD2"/>
    <w:rsid w:val="00C14FE6"/>
    <w:rsid w:val="00C15E3E"/>
    <w:rsid w:val="00C20EA8"/>
    <w:rsid w:val="00C225F4"/>
    <w:rsid w:val="00C2274A"/>
    <w:rsid w:val="00C25229"/>
    <w:rsid w:val="00C25601"/>
    <w:rsid w:val="00C27057"/>
    <w:rsid w:val="00C302E5"/>
    <w:rsid w:val="00C306BE"/>
    <w:rsid w:val="00C31FAC"/>
    <w:rsid w:val="00C328A6"/>
    <w:rsid w:val="00C34341"/>
    <w:rsid w:val="00C358DD"/>
    <w:rsid w:val="00C36D0D"/>
    <w:rsid w:val="00C43E60"/>
    <w:rsid w:val="00C47810"/>
    <w:rsid w:val="00C509DD"/>
    <w:rsid w:val="00C52266"/>
    <w:rsid w:val="00C540F0"/>
    <w:rsid w:val="00C621A0"/>
    <w:rsid w:val="00C627A3"/>
    <w:rsid w:val="00C630AA"/>
    <w:rsid w:val="00C65EEC"/>
    <w:rsid w:val="00C714E8"/>
    <w:rsid w:val="00C72359"/>
    <w:rsid w:val="00C72DDD"/>
    <w:rsid w:val="00C7455A"/>
    <w:rsid w:val="00C74625"/>
    <w:rsid w:val="00C74D97"/>
    <w:rsid w:val="00C74E72"/>
    <w:rsid w:val="00C75455"/>
    <w:rsid w:val="00C80822"/>
    <w:rsid w:val="00C81ACF"/>
    <w:rsid w:val="00C82610"/>
    <w:rsid w:val="00C83390"/>
    <w:rsid w:val="00C83FA1"/>
    <w:rsid w:val="00C87B83"/>
    <w:rsid w:val="00C94EEB"/>
    <w:rsid w:val="00C96A73"/>
    <w:rsid w:val="00CA1384"/>
    <w:rsid w:val="00CA16CD"/>
    <w:rsid w:val="00CA1A5F"/>
    <w:rsid w:val="00CA3128"/>
    <w:rsid w:val="00CA3250"/>
    <w:rsid w:val="00CA3D52"/>
    <w:rsid w:val="00CA5B11"/>
    <w:rsid w:val="00CA66D2"/>
    <w:rsid w:val="00CA6826"/>
    <w:rsid w:val="00CA6B79"/>
    <w:rsid w:val="00CB1109"/>
    <w:rsid w:val="00CB15D1"/>
    <w:rsid w:val="00CB166E"/>
    <w:rsid w:val="00CB346D"/>
    <w:rsid w:val="00CB4210"/>
    <w:rsid w:val="00CC1C5A"/>
    <w:rsid w:val="00CC35B2"/>
    <w:rsid w:val="00CD0B06"/>
    <w:rsid w:val="00CD16F8"/>
    <w:rsid w:val="00CD2BCB"/>
    <w:rsid w:val="00CD33E9"/>
    <w:rsid w:val="00CD4165"/>
    <w:rsid w:val="00CD43F6"/>
    <w:rsid w:val="00CD593B"/>
    <w:rsid w:val="00CE26B0"/>
    <w:rsid w:val="00CE3023"/>
    <w:rsid w:val="00CE345C"/>
    <w:rsid w:val="00CE4D3A"/>
    <w:rsid w:val="00CE66FD"/>
    <w:rsid w:val="00CE745C"/>
    <w:rsid w:val="00CF08D2"/>
    <w:rsid w:val="00CF3D76"/>
    <w:rsid w:val="00D00306"/>
    <w:rsid w:val="00D037A4"/>
    <w:rsid w:val="00D04C20"/>
    <w:rsid w:val="00D0735D"/>
    <w:rsid w:val="00D10C58"/>
    <w:rsid w:val="00D116E1"/>
    <w:rsid w:val="00D1216C"/>
    <w:rsid w:val="00D13118"/>
    <w:rsid w:val="00D137CD"/>
    <w:rsid w:val="00D216F3"/>
    <w:rsid w:val="00D21D1F"/>
    <w:rsid w:val="00D22C38"/>
    <w:rsid w:val="00D23EEB"/>
    <w:rsid w:val="00D244E3"/>
    <w:rsid w:val="00D246AB"/>
    <w:rsid w:val="00D2640B"/>
    <w:rsid w:val="00D3401A"/>
    <w:rsid w:val="00D35D9C"/>
    <w:rsid w:val="00D3670E"/>
    <w:rsid w:val="00D36C5F"/>
    <w:rsid w:val="00D403EB"/>
    <w:rsid w:val="00D40B78"/>
    <w:rsid w:val="00D42BD2"/>
    <w:rsid w:val="00D42C2B"/>
    <w:rsid w:val="00D4383C"/>
    <w:rsid w:val="00D45DB9"/>
    <w:rsid w:val="00D47112"/>
    <w:rsid w:val="00D47425"/>
    <w:rsid w:val="00D47BBB"/>
    <w:rsid w:val="00D5125B"/>
    <w:rsid w:val="00D515A9"/>
    <w:rsid w:val="00D54A86"/>
    <w:rsid w:val="00D56ED4"/>
    <w:rsid w:val="00D57FA9"/>
    <w:rsid w:val="00D61F15"/>
    <w:rsid w:val="00D63496"/>
    <w:rsid w:val="00D67A56"/>
    <w:rsid w:val="00D7088D"/>
    <w:rsid w:val="00D71CA3"/>
    <w:rsid w:val="00D71E40"/>
    <w:rsid w:val="00D7214C"/>
    <w:rsid w:val="00D8149C"/>
    <w:rsid w:val="00D82D86"/>
    <w:rsid w:val="00D83911"/>
    <w:rsid w:val="00D840CC"/>
    <w:rsid w:val="00D8607F"/>
    <w:rsid w:val="00D87017"/>
    <w:rsid w:val="00D87912"/>
    <w:rsid w:val="00D87E8B"/>
    <w:rsid w:val="00D90CA3"/>
    <w:rsid w:val="00D9152C"/>
    <w:rsid w:val="00D93181"/>
    <w:rsid w:val="00D94999"/>
    <w:rsid w:val="00D94C37"/>
    <w:rsid w:val="00DA1ABE"/>
    <w:rsid w:val="00DA237C"/>
    <w:rsid w:val="00DA4078"/>
    <w:rsid w:val="00DA6BC7"/>
    <w:rsid w:val="00DB0232"/>
    <w:rsid w:val="00DB13F2"/>
    <w:rsid w:val="00DB27E5"/>
    <w:rsid w:val="00DB72E8"/>
    <w:rsid w:val="00DC473A"/>
    <w:rsid w:val="00DC61C5"/>
    <w:rsid w:val="00DD1DD9"/>
    <w:rsid w:val="00DD2168"/>
    <w:rsid w:val="00DD2BD1"/>
    <w:rsid w:val="00DD46CD"/>
    <w:rsid w:val="00DD4906"/>
    <w:rsid w:val="00DD493D"/>
    <w:rsid w:val="00DD51A0"/>
    <w:rsid w:val="00DD7183"/>
    <w:rsid w:val="00DE0C74"/>
    <w:rsid w:val="00DE200A"/>
    <w:rsid w:val="00DE35DE"/>
    <w:rsid w:val="00DE5303"/>
    <w:rsid w:val="00DE6227"/>
    <w:rsid w:val="00DE634E"/>
    <w:rsid w:val="00DE683A"/>
    <w:rsid w:val="00DE689E"/>
    <w:rsid w:val="00DF100D"/>
    <w:rsid w:val="00DF3A44"/>
    <w:rsid w:val="00DF6906"/>
    <w:rsid w:val="00DF6E60"/>
    <w:rsid w:val="00E0070B"/>
    <w:rsid w:val="00E014DB"/>
    <w:rsid w:val="00E03615"/>
    <w:rsid w:val="00E044A8"/>
    <w:rsid w:val="00E04FFD"/>
    <w:rsid w:val="00E07BED"/>
    <w:rsid w:val="00E10C4D"/>
    <w:rsid w:val="00E13C19"/>
    <w:rsid w:val="00E14613"/>
    <w:rsid w:val="00E2283C"/>
    <w:rsid w:val="00E24376"/>
    <w:rsid w:val="00E25294"/>
    <w:rsid w:val="00E25609"/>
    <w:rsid w:val="00E25799"/>
    <w:rsid w:val="00E266F7"/>
    <w:rsid w:val="00E34267"/>
    <w:rsid w:val="00E3468C"/>
    <w:rsid w:val="00E4084E"/>
    <w:rsid w:val="00E41173"/>
    <w:rsid w:val="00E42EEA"/>
    <w:rsid w:val="00E44A57"/>
    <w:rsid w:val="00E4517C"/>
    <w:rsid w:val="00E46640"/>
    <w:rsid w:val="00E46EDC"/>
    <w:rsid w:val="00E50A11"/>
    <w:rsid w:val="00E50E89"/>
    <w:rsid w:val="00E5261B"/>
    <w:rsid w:val="00E54512"/>
    <w:rsid w:val="00E54C64"/>
    <w:rsid w:val="00E54EED"/>
    <w:rsid w:val="00E57718"/>
    <w:rsid w:val="00E60CF0"/>
    <w:rsid w:val="00E60FB0"/>
    <w:rsid w:val="00E63018"/>
    <w:rsid w:val="00E6641C"/>
    <w:rsid w:val="00E66695"/>
    <w:rsid w:val="00E713AC"/>
    <w:rsid w:val="00E73155"/>
    <w:rsid w:val="00E751C6"/>
    <w:rsid w:val="00E77121"/>
    <w:rsid w:val="00E774F5"/>
    <w:rsid w:val="00E80225"/>
    <w:rsid w:val="00E8208E"/>
    <w:rsid w:val="00E837F9"/>
    <w:rsid w:val="00E83FF8"/>
    <w:rsid w:val="00E8499C"/>
    <w:rsid w:val="00E84BEC"/>
    <w:rsid w:val="00E84F7F"/>
    <w:rsid w:val="00E86C0F"/>
    <w:rsid w:val="00E90BBB"/>
    <w:rsid w:val="00E93223"/>
    <w:rsid w:val="00E9375F"/>
    <w:rsid w:val="00EA0073"/>
    <w:rsid w:val="00EA0BE1"/>
    <w:rsid w:val="00EA2B75"/>
    <w:rsid w:val="00EA42D8"/>
    <w:rsid w:val="00EA4A93"/>
    <w:rsid w:val="00EA75B3"/>
    <w:rsid w:val="00EA7EAA"/>
    <w:rsid w:val="00EB11FC"/>
    <w:rsid w:val="00EB201B"/>
    <w:rsid w:val="00EB34DF"/>
    <w:rsid w:val="00EB3B6A"/>
    <w:rsid w:val="00EC0581"/>
    <w:rsid w:val="00EC1F20"/>
    <w:rsid w:val="00EC22E7"/>
    <w:rsid w:val="00EC36AE"/>
    <w:rsid w:val="00EC5D6B"/>
    <w:rsid w:val="00ED3769"/>
    <w:rsid w:val="00ED4C79"/>
    <w:rsid w:val="00ED518F"/>
    <w:rsid w:val="00EE1109"/>
    <w:rsid w:val="00EE144E"/>
    <w:rsid w:val="00EE1BB4"/>
    <w:rsid w:val="00EE2630"/>
    <w:rsid w:val="00EE3593"/>
    <w:rsid w:val="00EE35B9"/>
    <w:rsid w:val="00EE3EF8"/>
    <w:rsid w:val="00EF1AF9"/>
    <w:rsid w:val="00EF338D"/>
    <w:rsid w:val="00EF343D"/>
    <w:rsid w:val="00EF50B9"/>
    <w:rsid w:val="00EF55F8"/>
    <w:rsid w:val="00EF58B2"/>
    <w:rsid w:val="00EF6FF9"/>
    <w:rsid w:val="00F02583"/>
    <w:rsid w:val="00F077BB"/>
    <w:rsid w:val="00F1098A"/>
    <w:rsid w:val="00F10BDE"/>
    <w:rsid w:val="00F11F19"/>
    <w:rsid w:val="00F1475B"/>
    <w:rsid w:val="00F16EE4"/>
    <w:rsid w:val="00F17EF8"/>
    <w:rsid w:val="00F205F6"/>
    <w:rsid w:val="00F2127B"/>
    <w:rsid w:val="00F2418D"/>
    <w:rsid w:val="00F27817"/>
    <w:rsid w:val="00F32AAC"/>
    <w:rsid w:val="00F32EB3"/>
    <w:rsid w:val="00F33D4B"/>
    <w:rsid w:val="00F34B06"/>
    <w:rsid w:val="00F34C9D"/>
    <w:rsid w:val="00F36203"/>
    <w:rsid w:val="00F36EF2"/>
    <w:rsid w:val="00F404D6"/>
    <w:rsid w:val="00F41BD6"/>
    <w:rsid w:val="00F43939"/>
    <w:rsid w:val="00F43985"/>
    <w:rsid w:val="00F43EE2"/>
    <w:rsid w:val="00F47C04"/>
    <w:rsid w:val="00F5139F"/>
    <w:rsid w:val="00F52A80"/>
    <w:rsid w:val="00F533A6"/>
    <w:rsid w:val="00F5537C"/>
    <w:rsid w:val="00F5623C"/>
    <w:rsid w:val="00F63633"/>
    <w:rsid w:val="00F70390"/>
    <w:rsid w:val="00F70AE3"/>
    <w:rsid w:val="00F73DF8"/>
    <w:rsid w:val="00F75B50"/>
    <w:rsid w:val="00F76C66"/>
    <w:rsid w:val="00F80D1B"/>
    <w:rsid w:val="00F83617"/>
    <w:rsid w:val="00F84B0C"/>
    <w:rsid w:val="00F85C30"/>
    <w:rsid w:val="00F85EDF"/>
    <w:rsid w:val="00F901B3"/>
    <w:rsid w:val="00F91859"/>
    <w:rsid w:val="00F91AF5"/>
    <w:rsid w:val="00F9525D"/>
    <w:rsid w:val="00F95275"/>
    <w:rsid w:val="00FA0715"/>
    <w:rsid w:val="00FA1605"/>
    <w:rsid w:val="00FA5D87"/>
    <w:rsid w:val="00FA7086"/>
    <w:rsid w:val="00FA7598"/>
    <w:rsid w:val="00FB09DA"/>
    <w:rsid w:val="00FB4113"/>
    <w:rsid w:val="00FB499C"/>
    <w:rsid w:val="00FB4F0E"/>
    <w:rsid w:val="00FB790F"/>
    <w:rsid w:val="00FC3FCC"/>
    <w:rsid w:val="00FC6BC3"/>
    <w:rsid w:val="00FC6E77"/>
    <w:rsid w:val="00FD06AE"/>
    <w:rsid w:val="00FD2A48"/>
    <w:rsid w:val="00FD2BFB"/>
    <w:rsid w:val="00FD3513"/>
    <w:rsid w:val="00FD580E"/>
    <w:rsid w:val="00FD5D2C"/>
    <w:rsid w:val="00FE0455"/>
    <w:rsid w:val="00FE0C35"/>
    <w:rsid w:val="00FE1298"/>
    <w:rsid w:val="00FE148F"/>
    <w:rsid w:val="00FE1AD0"/>
    <w:rsid w:val="00FE2E65"/>
    <w:rsid w:val="00FE3552"/>
    <w:rsid w:val="00FE7ABA"/>
    <w:rsid w:val="00FF2113"/>
    <w:rsid w:val="00FF3A0F"/>
    <w:rsid w:val="00FF4D28"/>
    <w:rsid w:val="00FF5140"/>
    <w:rsid w:val="00FF5388"/>
    <w:rsid w:val="00FF53EC"/>
    <w:rsid w:val="00FF78D8"/>
    <w:rsid w:val="0119677B"/>
    <w:rsid w:val="01607FCF"/>
    <w:rsid w:val="01952A27"/>
    <w:rsid w:val="019B4930"/>
    <w:rsid w:val="01B81CE2"/>
    <w:rsid w:val="01DD2E1B"/>
    <w:rsid w:val="01DE4120"/>
    <w:rsid w:val="01F84CCA"/>
    <w:rsid w:val="02125874"/>
    <w:rsid w:val="02246E13"/>
    <w:rsid w:val="024D6952"/>
    <w:rsid w:val="02515359"/>
    <w:rsid w:val="02574CE3"/>
    <w:rsid w:val="025E7EF2"/>
    <w:rsid w:val="02775E4F"/>
    <w:rsid w:val="02A75D67"/>
    <w:rsid w:val="02A837E9"/>
    <w:rsid w:val="02C8629C"/>
    <w:rsid w:val="02F019DF"/>
    <w:rsid w:val="03043F03"/>
    <w:rsid w:val="030C130F"/>
    <w:rsid w:val="03187320"/>
    <w:rsid w:val="032B053F"/>
    <w:rsid w:val="037B15C3"/>
    <w:rsid w:val="03847CD4"/>
    <w:rsid w:val="03A65C8A"/>
    <w:rsid w:val="03BB23AC"/>
    <w:rsid w:val="03EA2EFC"/>
    <w:rsid w:val="03F12886"/>
    <w:rsid w:val="03F24A85"/>
    <w:rsid w:val="03F4380B"/>
    <w:rsid w:val="03FF761E"/>
    <w:rsid w:val="040E43B5"/>
    <w:rsid w:val="04153D40"/>
    <w:rsid w:val="04425B09"/>
    <w:rsid w:val="047C49E9"/>
    <w:rsid w:val="04A45BAD"/>
    <w:rsid w:val="04C40660"/>
    <w:rsid w:val="04CA256A"/>
    <w:rsid w:val="04F97836"/>
    <w:rsid w:val="050C0A55"/>
    <w:rsid w:val="05133C63"/>
    <w:rsid w:val="05164BE7"/>
    <w:rsid w:val="051E0BD4"/>
    <w:rsid w:val="05292583"/>
    <w:rsid w:val="05806815"/>
    <w:rsid w:val="059B4E40"/>
    <w:rsid w:val="05BA78F4"/>
    <w:rsid w:val="06040FED"/>
    <w:rsid w:val="065751F3"/>
    <w:rsid w:val="065C167B"/>
    <w:rsid w:val="06603905"/>
    <w:rsid w:val="06657D8C"/>
    <w:rsid w:val="066A4214"/>
    <w:rsid w:val="067C79B2"/>
    <w:rsid w:val="06904454"/>
    <w:rsid w:val="06AD0181"/>
    <w:rsid w:val="06D0743C"/>
    <w:rsid w:val="06FA6082"/>
    <w:rsid w:val="06FE6C86"/>
    <w:rsid w:val="077E62DB"/>
    <w:rsid w:val="0789466C"/>
    <w:rsid w:val="07A6619A"/>
    <w:rsid w:val="07BF4B46"/>
    <w:rsid w:val="07DA78EE"/>
    <w:rsid w:val="07FA5C24"/>
    <w:rsid w:val="081B19DC"/>
    <w:rsid w:val="081D4EDF"/>
    <w:rsid w:val="08564CB9"/>
    <w:rsid w:val="08A03E34"/>
    <w:rsid w:val="08A65D3D"/>
    <w:rsid w:val="08AB5A48"/>
    <w:rsid w:val="08BC7EE1"/>
    <w:rsid w:val="08BE6C67"/>
    <w:rsid w:val="08DF7486"/>
    <w:rsid w:val="08F438BE"/>
    <w:rsid w:val="08F62644"/>
    <w:rsid w:val="090A5A61"/>
    <w:rsid w:val="090E4468"/>
    <w:rsid w:val="092D1499"/>
    <w:rsid w:val="0974768F"/>
    <w:rsid w:val="09965645"/>
    <w:rsid w:val="099843CC"/>
    <w:rsid w:val="09B94900"/>
    <w:rsid w:val="09BE460B"/>
    <w:rsid w:val="0A231DB1"/>
    <w:rsid w:val="0A2F3646"/>
    <w:rsid w:val="0A5D2E90"/>
    <w:rsid w:val="0A5D760D"/>
    <w:rsid w:val="0A6749FB"/>
    <w:rsid w:val="0A745034"/>
    <w:rsid w:val="0A796F3D"/>
    <w:rsid w:val="0A7D11C6"/>
    <w:rsid w:val="0A7E33C5"/>
    <w:rsid w:val="0A821DCB"/>
    <w:rsid w:val="0AE92A74"/>
    <w:rsid w:val="0AF61D8A"/>
    <w:rsid w:val="0B04109F"/>
    <w:rsid w:val="0B0B0A2A"/>
    <w:rsid w:val="0B5605CC"/>
    <w:rsid w:val="0B5965AB"/>
    <w:rsid w:val="0B5D7BAD"/>
    <w:rsid w:val="0B8251F1"/>
    <w:rsid w:val="0B943C03"/>
    <w:rsid w:val="0B9C5D9B"/>
    <w:rsid w:val="0BB27F3E"/>
    <w:rsid w:val="0BF132A6"/>
    <w:rsid w:val="0C191D25"/>
    <w:rsid w:val="0C234D7A"/>
    <w:rsid w:val="0C30080D"/>
    <w:rsid w:val="0C3E7B22"/>
    <w:rsid w:val="0C537AC8"/>
    <w:rsid w:val="0C953DB4"/>
    <w:rsid w:val="0CA61AD0"/>
    <w:rsid w:val="0CAF495E"/>
    <w:rsid w:val="0CC95508"/>
    <w:rsid w:val="0CDE1C2A"/>
    <w:rsid w:val="0CE360B2"/>
    <w:rsid w:val="0CE8253A"/>
    <w:rsid w:val="0CE97FBB"/>
    <w:rsid w:val="0CEC69C1"/>
    <w:rsid w:val="0CF2414E"/>
    <w:rsid w:val="0D0904F0"/>
    <w:rsid w:val="0D2E2CAE"/>
    <w:rsid w:val="0D4F31E3"/>
    <w:rsid w:val="0D573E72"/>
    <w:rsid w:val="0D655386"/>
    <w:rsid w:val="0D6E3A97"/>
    <w:rsid w:val="0D8323B8"/>
    <w:rsid w:val="0D92714F"/>
    <w:rsid w:val="0D930454"/>
    <w:rsid w:val="0DB01F82"/>
    <w:rsid w:val="0DB6770F"/>
    <w:rsid w:val="0DC679A9"/>
    <w:rsid w:val="0DC9092E"/>
    <w:rsid w:val="0E041A0C"/>
    <w:rsid w:val="0E542A90"/>
    <w:rsid w:val="0E554C8F"/>
    <w:rsid w:val="0E745543"/>
    <w:rsid w:val="0E7F4BD9"/>
    <w:rsid w:val="0E814859"/>
    <w:rsid w:val="0E8C2BEA"/>
    <w:rsid w:val="0E98447E"/>
    <w:rsid w:val="0EA51596"/>
    <w:rsid w:val="0ED46862"/>
    <w:rsid w:val="0F0260AC"/>
    <w:rsid w:val="0F095A37"/>
    <w:rsid w:val="0F434917"/>
    <w:rsid w:val="0F442399"/>
    <w:rsid w:val="0F4E3FAD"/>
    <w:rsid w:val="0F553938"/>
    <w:rsid w:val="0F634E4C"/>
    <w:rsid w:val="0F6406CF"/>
    <w:rsid w:val="0F786C55"/>
    <w:rsid w:val="0F7C5D76"/>
    <w:rsid w:val="0F912498"/>
    <w:rsid w:val="0FB41753"/>
    <w:rsid w:val="0FBA585B"/>
    <w:rsid w:val="0FE963AA"/>
    <w:rsid w:val="0FFF2ACC"/>
    <w:rsid w:val="100F2D66"/>
    <w:rsid w:val="101A2510"/>
    <w:rsid w:val="10832D25"/>
    <w:rsid w:val="10923340"/>
    <w:rsid w:val="10A100D7"/>
    <w:rsid w:val="10BD6382"/>
    <w:rsid w:val="10F3685C"/>
    <w:rsid w:val="11096801"/>
    <w:rsid w:val="11471B69"/>
    <w:rsid w:val="115049F7"/>
    <w:rsid w:val="116C0AA4"/>
    <w:rsid w:val="116D0724"/>
    <w:rsid w:val="117074AB"/>
    <w:rsid w:val="11735EB1"/>
    <w:rsid w:val="118F66DA"/>
    <w:rsid w:val="11BC62A5"/>
    <w:rsid w:val="11C87B39"/>
    <w:rsid w:val="11E54EEB"/>
    <w:rsid w:val="1205799E"/>
    <w:rsid w:val="121E634A"/>
    <w:rsid w:val="12404300"/>
    <w:rsid w:val="124C2311"/>
    <w:rsid w:val="12591626"/>
    <w:rsid w:val="12964D0E"/>
    <w:rsid w:val="12A365A3"/>
    <w:rsid w:val="12A51AA6"/>
    <w:rsid w:val="12AB39AF"/>
    <w:rsid w:val="12B90746"/>
    <w:rsid w:val="12BF484E"/>
    <w:rsid w:val="12C257D3"/>
    <w:rsid w:val="12DF0986"/>
    <w:rsid w:val="12E13E89"/>
    <w:rsid w:val="12E5288F"/>
    <w:rsid w:val="131577DB"/>
    <w:rsid w:val="132248F2"/>
    <w:rsid w:val="134A2234"/>
    <w:rsid w:val="13740E79"/>
    <w:rsid w:val="138B0A9F"/>
    <w:rsid w:val="13A2785E"/>
    <w:rsid w:val="13E67EB4"/>
    <w:rsid w:val="14100CF8"/>
    <w:rsid w:val="14227D18"/>
    <w:rsid w:val="14281C22"/>
    <w:rsid w:val="142D60AA"/>
    <w:rsid w:val="143D2AC1"/>
    <w:rsid w:val="143E0542"/>
    <w:rsid w:val="14501AE1"/>
    <w:rsid w:val="14545F69"/>
    <w:rsid w:val="14632D00"/>
    <w:rsid w:val="147E4BAF"/>
    <w:rsid w:val="14C10B1B"/>
    <w:rsid w:val="14FF2B7F"/>
    <w:rsid w:val="15067F8B"/>
    <w:rsid w:val="151A11AA"/>
    <w:rsid w:val="15360ADA"/>
    <w:rsid w:val="154645F8"/>
    <w:rsid w:val="15574892"/>
    <w:rsid w:val="15576A90"/>
    <w:rsid w:val="155F3E9D"/>
    <w:rsid w:val="15732B3D"/>
    <w:rsid w:val="15BB45B7"/>
    <w:rsid w:val="15C164C0"/>
    <w:rsid w:val="15CF3257"/>
    <w:rsid w:val="16080E33"/>
    <w:rsid w:val="16547C2D"/>
    <w:rsid w:val="165556AF"/>
    <w:rsid w:val="16560BB2"/>
    <w:rsid w:val="169B5E23"/>
    <w:rsid w:val="16A36AB3"/>
    <w:rsid w:val="16BA66D8"/>
    <w:rsid w:val="16F72CB9"/>
    <w:rsid w:val="170F3BE3"/>
    <w:rsid w:val="171966F1"/>
    <w:rsid w:val="171D50F7"/>
    <w:rsid w:val="174E114A"/>
    <w:rsid w:val="17650D6F"/>
    <w:rsid w:val="176A51F7"/>
    <w:rsid w:val="17787D90"/>
    <w:rsid w:val="179D474C"/>
    <w:rsid w:val="17E3163D"/>
    <w:rsid w:val="180169EF"/>
    <w:rsid w:val="183C554F"/>
    <w:rsid w:val="184A22E6"/>
    <w:rsid w:val="184F4570"/>
    <w:rsid w:val="18656713"/>
    <w:rsid w:val="187831B6"/>
    <w:rsid w:val="187D3DBA"/>
    <w:rsid w:val="187E50BF"/>
    <w:rsid w:val="18DC2EDA"/>
    <w:rsid w:val="18DE232D"/>
    <w:rsid w:val="18FF6912"/>
    <w:rsid w:val="19162CB4"/>
    <w:rsid w:val="193C2EF3"/>
    <w:rsid w:val="19476D06"/>
    <w:rsid w:val="195F7C30"/>
    <w:rsid w:val="19A2611B"/>
    <w:rsid w:val="19CC6F5F"/>
    <w:rsid w:val="19D05965"/>
    <w:rsid w:val="19E05C00"/>
    <w:rsid w:val="19F710A8"/>
    <w:rsid w:val="1A111C52"/>
    <w:rsid w:val="1A217CEE"/>
    <w:rsid w:val="1A2F1202"/>
    <w:rsid w:val="1A535F3F"/>
    <w:rsid w:val="1AC473D9"/>
    <w:rsid w:val="1ACE5888"/>
    <w:rsid w:val="1ADD5EA3"/>
    <w:rsid w:val="1AEE033B"/>
    <w:rsid w:val="1AF112C0"/>
    <w:rsid w:val="1AFE63D7"/>
    <w:rsid w:val="1B261290"/>
    <w:rsid w:val="1B2B01A0"/>
    <w:rsid w:val="1B5857EC"/>
    <w:rsid w:val="1BA13662"/>
    <w:rsid w:val="1BAB3F72"/>
    <w:rsid w:val="1BAF61FB"/>
    <w:rsid w:val="1BDA4AC1"/>
    <w:rsid w:val="1C016EFF"/>
    <w:rsid w:val="1C215235"/>
    <w:rsid w:val="1C353ED6"/>
    <w:rsid w:val="1C3B3861"/>
    <w:rsid w:val="1C530F07"/>
    <w:rsid w:val="1C592E11"/>
    <w:rsid w:val="1C92426F"/>
    <w:rsid w:val="1D5020A4"/>
    <w:rsid w:val="1D54432D"/>
    <w:rsid w:val="1D7F7370"/>
    <w:rsid w:val="1D8D798A"/>
    <w:rsid w:val="1D9D21A3"/>
    <w:rsid w:val="1DCD0774"/>
    <w:rsid w:val="1DDC550B"/>
    <w:rsid w:val="1E0E375C"/>
    <w:rsid w:val="1E1430E7"/>
    <w:rsid w:val="1E322697"/>
    <w:rsid w:val="1E800217"/>
    <w:rsid w:val="1E880EA7"/>
    <w:rsid w:val="1EA64BD4"/>
    <w:rsid w:val="1EB067E8"/>
    <w:rsid w:val="1ED979AD"/>
    <w:rsid w:val="1EE408E7"/>
    <w:rsid w:val="1EF34CD3"/>
    <w:rsid w:val="1F0A017C"/>
    <w:rsid w:val="1F0C367F"/>
    <w:rsid w:val="1F181690"/>
    <w:rsid w:val="1F225822"/>
    <w:rsid w:val="1F5B33FE"/>
    <w:rsid w:val="1F695F97"/>
    <w:rsid w:val="1F6F5922"/>
    <w:rsid w:val="1FC62AAD"/>
    <w:rsid w:val="1FC93A32"/>
    <w:rsid w:val="1FDC4C51"/>
    <w:rsid w:val="1FFA7A84"/>
    <w:rsid w:val="201D0F3D"/>
    <w:rsid w:val="207B12D7"/>
    <w:rsid w:val="20C429D0"/>
    <w:rsid w:val="20E52F05"/>
    <w:rsid w:val="20E8770D"/>
    <w:rsid w:val="21066CBD"/>
    <w:rsid w:val="212152E8"/>
    <w:rsid w:val="21243CEE"/>
    <w:rsid w:val="213A3C94"/>
    <w:rsid w:val="213E4898"/>
    <w:rsid w:val="21405B9D"/>
    <w:rsid w:val="2187050F"/>
    <w:rsid w:val="21A458C1"/>
    <w:rsid w:val="21B300DA"/>
    <w:rsid w:val="21B91FE3"/>
    <w:rsid w:val="21BA320B"/>
    <w:rsid w:val="21BE0669"/>
    <w:rsid w:val="21BF60EB"/>
    <w:rsid w:val="21CE6705"/>
    <w:rsid w:val="21D94A96"/>
    <w:rsid w:val="21E253A6"/>
    <w:rsid w:val="223A7FB3"/>
    <w:rsid w:val="22446344"/>
    <w:rsid w:val="225443E0"/>
    <w:rsid w:val="22731412"/>
    <w:rsid w:val="22765C1A"/>
    <w:rsid w:val="2278331B"/>
    <w:rsid w:val="227B5090"/>
    <w:rsid w:val="227D55A4"/>
    <w:rsid w:val="22885B34"/>
    <w:rsid w:val="22A57662"/>
    <w:rsid w:val="22E771D2"/>
    <w:rsid w:val="23081905"/>
    <w:rsid w:val="231879A1"/>
    <w:rsid w:val="231B2B24"/>
    <w:rsid w:val="234207E5"/>
    <w:rsid w:val="2363679C"/>
    <w:rsid w:val="23682C23"/>
    <w:rsid w:val="23693F28"/>
    <w:rsid w:val="236C4EAD"/>
    <w:rsid w:val="237C4C1C"/>
    <w:rsid w:val="23BB04AF"/>
    <w:rsid w:val="23C977C5"/>
    <w:rsid w:val="23D322D3"/>
    <w:rsid w:val="23E2706A"/>
    <w:rsid w:val="23E427C1"/>
    <w:rsid w:val="23FF12DF"/>
    <w:rsid w:val="242642DB"/>
    <w:rsid w:val="24323971"/>
    <w:rsid w:val="2445130D"/>
    <w:rsid w:val="24753161"/>
    <w:rsid w:val="24870E7D"/>
    <w:rsid w:val="24BA4B4F"/>
    <w:rsid w:val="24D81B80"/>
    <w:rsid w:val="24DD188B"/>
    <w:rsid w:val="24E56C98"/>
    <w:rsid w:val="24EE3D24"/>
    <w:rsid w:val="250A5BD3"/>
    <w:rsid w:val="25262F8B"/>
    <w:rsid w:val="25290686"/>
    <w:rsid w:val="253D18A5"/>
    <w:rsid w:val="254E2E44"/>
    <w:rsid w:val="25565941"/>
    <w:rsid w:val="255911D5"/>
    <w:rsid w:val="25602D5E"/>
    <w:rsid w:val="25637566"/>
    <w:rsid w:val="257A3908"/>
    <w:rsid w:val="25CD5911"/>
    <w:rsid w:val="25E60A39"/>
    <w:rsid w:val="25E60A73"/>
    <w:rsid w:val="25E71D3E"/>
    <w:rsid w:val="25F954DB"/>
    <w:rsid w:val="262B152D"/>
    <w:rsid w:val="26536E6E"/>
    <w:rsid w:val="267506A8"/>
    <w:rsid w:val="267B47B0"/>
    <w:rsid w:val="267D5AB4"/>
    <w:rsid w:val="269B2AE6"/>
    <w:rsid w:val="26B61111"/>
    <w:rsid w:val="26D71646"/>
    <w:rsid w:val="26E8081A"/>
    <w:rsid w:val="26FB0581"/>
    <w:rsid w:val="27233CC4"/>
    <w:rsid w:val="275D2BA4"/>
    <w:rsid w:val="277D7855"/>
    <w:rsid w:val="27A37A95"/>
    <w:rsid w:val="27DB7BEF"/>
    <w:rsid w:val="27F07B94"/>
    <w:rsid w:val="28341582"/>
    <w:rsid w:val="283A348C"/>
    <w:rsid w:val="286A785E"/>
    <w:rsid w:val="286F3CE6"/>
    <w:rsid w:val="28745BEF"/>
    <w:rsid w:val="28A21BB6"/>
    <w:rsid w:val="28E33CA5"/>
    <w:rsid w:val="28ED45B4"/>
    <w:rsid w:val="290F7FEC"/>
    <w:rsid w:val="291753F8"/>
    <w:rsid w:val="294D204F"/>
    <w:rsid w:val="294E7AD1"/>
    <w:rsid w:val="29506857"/>
    <w:rsid w:val="299B3453"/>
    <w:rsid w:val="29AD336D"/>
    <w:rsid w:val="29B5077A"/>
    <w:rsid w:val="29C17E10"/>
    <w:rsid w:val="29C25891"/>
    <w:rsid w:val="29CC039F"/>
    <w:rsid w:val="29D222A8"/>
    <w:rsid w:val="29E14AC1"/>
    <w:rsid w:val="2A020879"/>
    <w:rsid w:val="2A0B6F8A"/>
    <w:rsid w:val="2A151A98"/>
    <w:rsid w:val="2A3B6454"/>
    <w:rsid w:val="2A423861"/>
    <w:rsid w:val="2A7D01C3"/>
    <w:rsid w:val="2A83594F"/>
    <w:rsid w:val="2AA65B04"/>
    <w:rsid w:val="2AC25434"/>
    <w:rsid w:val="2AC563B9"/>
    <w:rsid w:val="2ACB3B45"/>
    <w:rsid w:val="2AF6240B"/>
    <w:rsid w:val="2B2F7FE6"/>
    <w:rsid w:val="2B3269EC"/>
    <w:rsid w:val="2B341EF0"/>
    <w:rsid w:val="2B5D30B4"/>
    <w:rsid w:val="2B9A2F19"/>
    <w:rsid w:val="2B9B099A"/>
    <w:rsid w:val="2BB53743"/>
    <w:rsid w:val="2BFF4E3C"/>
    <w:rsid w:val="2C1D1E6D"/>
    <w:rsid w:val="2C210873"/>
    <w:rsid w:val="2C26057E"/>
    <w:rsid w:val="2C532BDA"/>
    <w:rsid w:val="2C6303E3"/>
    <w:rsid w:val="2C68486B"/>
    <w:rsid w:val="2C8F472B"/>
    <w:rsid w:val="2C9640B5"/>
    <w:rsid w:val="2CA12446"/>
    <w:rsid w:val="2CCC0D0C"/>
    <w:rsid w:val="2CD4199C"/>
    <w:rsid w:val="2CEF7FC7"/>
    <w:rsid w:val="2CFF49DE"/>
    <w:rsid w:val="2D017EE1"/>
    <w:rsid w:val="2D11017C"/>
    <w:rsid w:val="2D3E35CA"/>
    <w:rsid w:val="2D470781"/>
    <w:rsid w:val="2D5766F2"/>
    <w:rsid w:val="2D7968A6"/>
    <w:rsid w:val="2D832A39"/>
    <w:rsid w:val="2DA54273"/>
    <w:rsid w:val="2DC56D26"/>
    <w:rsid w:val="2E075211"/>
    <w:rsid w:val="2E296A4A"/>
    <w:rsid w:val="2E452AF7"/>
    <w:rsid w:val="2E5A7219"/>
    <w:rsid w:val="2E616BA4"/>
    <w:rsid w:val="2E6B420B"/>
    <w:rsid w:val="2E8E096D"/>
    <w:rsid w:val="2E955D79"/>
    <w:rsid w:val="2ECB6253"/>
    <w:rsid w:val="2EE203F7"/>
    <w:rsid w:val="2EF7039C"/>
    <w:rsid w:val="2EFB6DA3"/>
    <w:rsid w:val="2F141ECB"/>
    <w:rsid w:val="2F3F0791"/>
    <w:rsid w:val="2F4E2FA9"/>
    <w:rsid w:val="2F513F2E"/>
    <w:rsid w:val="2FA64CBD"/>
    <w:rsid w:val="2FC01FE3"/>
    <w:rsid w:val="2FCC1679"/>
    <w:rsid w:val="2FDF2898"/>
    <w:rsid w:val="2FE77CA5"/>
    <w:rsid w:val="30276510"/>
    <w:rsid w:val="30344521"/>
    <w:rsid w:val="304D2ECC"/>
    <w:rsid w:val="30542857"/>
    <w:rsid w:val="306153F0"/>
    <w:rsid w:val="30696F79"/>
    <w:rsid w:val="306E0E83"/>
    <w:rsid w:val="30806B9E"/>
    <w:rsid w:val="308568A9"/>
    <w:rsid w:val="30C65115"/>
    <w:rsid w:val="30E80B4C"/>
    <w:rsid w:val="30FE2CF0"/>
    <w:rsid w:val="310E2F8A"/>
    <w:rsid w:val="313C4D53"/>
    <w:rsid w:val="3169239F"/>
    <w:rsid w:val="316C3324"/>
    <w:rsid w:val="3175173C"/>
    <w:rsid w:val="31AA2E09"/>
    <w:rsid w:val="31B16017"/>
    <w:rsid w:val="31BE6C8E"/>
    <w:rsid w:val="31C97E3A"/>
    <w:rsid w:val="322162CA"/>
    <w:rsid w:val="322701D4"/>
    <w:rsid w:val="32342D6D"/>
    <w:rsid w:val="324A4F10"/>
    <w:rsid w:val="325D3F31"/>
    <w:rsid w:val="326B5445"/>
    <w:rsid w:val="327E4466"/>
    <w:rsid w:val="32874D75"/>
    <w:rsid w:val="32A974A8"/>
    <w:rsid w:val="32C835E0"/>
    <w:rsid w:val="33111456"/>
    <w:rsid w:val="33540C46"/>
    <w:rsid w:val="335F6FD7"/>
    <w:rsid w:val="337820FF"/>
    <w:rsid w:val="33822A0F"/>
    <w:rsid w:val="339D48BD"/>
    <w:rsid w:val="33BD4DF2"/>
    <w:rsid w:val="33C75702"/>
    <w:rsid w:val="33DE5327"/>
    <w:rsid w:val="33E317AE"/>
    <w:rsid w:val="33FD5BDC"/>
    <w:rsid w:val="34401B48"/>
    <w:rsid w:val="344B7ED9"/>
    <w:rsid w:val="34792FA7"/>
    <w:rsid w:val="347B2C27"/>
    <w:rsid w:val="349260CF"/>
    <w:rsid w:val="34C91C8B"/>
    <w:rsid w:val="34CE04B2"/>
    <w:rsid w:val="34D039B6"/>
    <w:rsid w:val="34F5482E"/>
    <w:rsid w:val="353201D7"/>
    <w:rsid w:val="35455B73"/>
    <w:rsid w:val="35511985"/>
    <w:rsid w:val="35622F24"/>
    <w:rsid w:val="359720FA"/>
    <w:rsid w:val="359F7506"/>
    <w:rsid w:val="35B54F2D"/>
    <w:rsid w:val="35E96681"/>
    <w:rsid w:val="365B0F3E"/>
    <w:rsid w:val="365E663F"/>
    <w:rsid w:val="366614CD"/>
    <w:rsid w:val="36882D07"/>
    <w:rsid w:val="36AD1C42"/>
    <w:rsid w:val="36C64D6A"/>
    <w:rsid w:val="36DA3A0A"/>
    <w:rsid w:val="36DF3716"/>
    <w:rsid w:val="36F47E38"/>
    <w:rsid w:val="37250DEE"/>
    <w:rsid w:val="37340C21"/>
    <w:rsid w:val="373B27AA"/>
    <w:rsid w:val="378D6D31"/>
    <w:rsid w:val="379850C2"/>
    <w:rsid w:val="37AC3D63"/>
    <w:rsid w:val="37BC1DFF"/>
    <w:rsid w:val="37BF0805"/>
    <w:rsid w:val="37C02A03"/>
    <w:rsid w:val="38296BB0"/>
    <w:rsid w:val="38623892"/>
    <w:rsid w:val="386B2E9C"/>
    <w:rsid w:val="386E18A2"/>
    <w:rsid w:val="389152DA"/>
    <w:rsid w:val="389F7E73"/>
    <w:rsid w:val="38B13611"/>
    <w:rsid w:val="38BE29CD"/>
    <w:rsid w:val="38C2712E"/>
    <w:rsid w:val="38CA5FD2"/>
    <w:rsid w:val="38CF2BC1"/>
    <w:rsid w:val="38D54ACA"/>
    <w:rsid w:val="38EE7BF2"/>
    <w:rsid w:val="3908621E"/>
    <w:rsid w:val="39224BC9"/>
    <w:rsid w:val="392D09DC"/>
    <w:rsid w:val="393670ED"/>
    <w:rsid w:val="39456083"/>
    <w:rsid w:val="397D1A60"/>
    <w:rsid w:val="398C67F7"/>
    <w:rsid w:val="39B03534"/>
    <w:rsid w:val="39B6763B"/>
    <w:rsid w:val="39F17820"/>
    <w:rsid w:val="39FD5831"/>
    <w:rsid w:val="3A0C5E4C"/>
    <w:rsid w:val="3A5A0149"/>
    <w:rsid w:val="3A653F5C"/>
    <w:rsid w:val="3A675260"/>
    <w:rsid w:val="3A717D6E"/>
    <w:rsid w:val="3A82388C"/>
    <w:rsid w:val="3A9160A5"/>
    <w:rsid w:val="3ACA7503"/>
    <w:rsid w:val="3AD16E8E"/>
    <w:rsid w:val="3AE400AD"/>
    <w:rsid w:val="3B5612E6"/>
    <w:rsid w:val="3B5C31EF"/>
    <w:rsid w:val="3B601BF5"/>
    <w:rsid w:val="3B6444BC"/>
    <w:rsid w:val="3B651900"/>
    <w:rsid w:val="3B6E2210"/>
    <w:rsid w:val="3B8B1B40"/>
    <w:rsid w:val="3B977B51"/>
    <w:rsid w:val="3BAF51F7"/>
    <w:rsid w:val="3BB2617C"/>
    <w:rsid w:val="3C0A7E90"/>
    <w:rsid w:val="3C161724"/>
    <w:rsid w:val="3C790143"/>
    <w:rsid w:val="3C9541F0"/>
    <w:rsid w:val="3CC83746"/>
    <w:rsid w:val="3D145DC3"/>
    <w:rsid w:val="3D2250D9"/>
    <w:rsid w:val="3D3056F4"/>
    <w:rsid w:val="3D320BF7"/>
    <w:rsid w:val="3D461E16"/>
    <w:rsid w:val="3D494F99"/>
    <w:rsid w:val="3D595233"/>
    <w:rsid w:val="3D5F4F3E"/>
    <w:rsid w:val="3D6029C0"/>
    <w:rsid w:val="3D6C4254"/>
    <w:rsid w:val="3D993E1E"/>
    <w:rsid w:val="3DD4297E"/>
    <w:rsid w:val="3DD50400"/>
    <w:rsid w:val="3DEF482D"/>
    <w:rsid w:val="3E0456CC"/>
    <w:rsid w:val="3E143768"/>
    <w:rsid w:val="3E592BD7"/>
    <w:rsid w:val="3E767F89"/>
    <w:rsid w:val="3E7F2E17"/>
    <w:rsid w:val="3E8C4CE0"/>
    <w:rsid w:val="3ECB5495"/>
    <w:rsid w:val="3EDD53AF"/>
    <w:rsid w:val="3F0142EA"/>
    <w:rsid w:val="3F040AF2"/>
    <w:rsid w:val="3F433E5A"/>
    <w:rsid w:val="3F602105"/>
    <w:rsid w:val="3FAE7C86"/>
    <w:rsid w:val="3FB60916"/>
    <w:rsid w:val="400F22A9"/>
    <w:rsid w:val="401B2838"/>
    <w:rsid w:val="402A08D4"/>
    <w:rsid w:val="40337EDF"/>
    <w:rsid w:val="403C65F0"/>
    <w:rsid w:val="40491ED2"/>
    <w:rsid w:val="407057C5"/>
    <w:rsid w:val="40842268"/>
    <w:rsid w:val="40BF3346"/>
    <w:rsid w:val="412A6279"/>
    <w:rsid w:val="417340EF"/>
    <w:rsid w:val="41955928"/>
    <w:rsid w:val="41A832C4"/>
    <w:rsid w:val="41AE2C4F"/>
    <w:rsid w:val="41B403DB"/>
    <w:rsid w:val="41B6005B"/>
    <w:rsid w:val="41D00C05"/>
    <w:rsid w:val="41EC0535"/>
    <w:rsid w:val="41FF1754"/>
    <w:rsid w:val="42014C57"/>
    <w:rsid w:val="42201C89"/>
    <w:rsid w:val="42301F23"/>
    <w:rsid w:val="42580EE9"/>
    <w:rsid w:val="425A43EC"/>
    <w:rsid w:val="425E756F"/>
    <w:rsid w:val="426B4687"/>
    <w:rsid w:val="426B6885"/>
    <w:rsid w:val="42757194"/>
    <w:rsid w:val="42780119"/>
    <w:rsid w:val="429441C6"/>
    <w:rsid w:val="429576C9"/>
    <w:rsid w:val="429709CE"/>
    <w:rsid w:val="42C22B17"/>
    <w:rsid w:val="42D617B7"/>
    <w:rsid w:val="42D96EB9"/>
    <w:rsid w:val="42FA2C71"/>
    <w:rsid w:val="42FF12F7"/>
    <w:rsid w:val="43285FDD"/>
    <w:rsid w:val="433340CF"/>
    <w:rsid w:val="43677A21"/>
    <w:rsid w:val="43843A68"/>
    <w:rsid w:val="4389705D"/>
    <w:rsid w:val="43962AEF"/>
    <w:rsid w:val="43BB74AB"/>
    <w:rsid w:val="43C45BBD"/>
    <w:rsid w:val="44061EA9"/>
    <w:rsid w:val="4409502C"/>
    <w:rsid w:val="44197845"/>
    <w:rsid w:val="44314EEC"/>
    <w:rsid w:val="446134BD"/>
    <w:rsid w:val="44846EF4"/>
    <w:rsid w:val="44877E79"/>
    <w:rsid w:val="44934F90"/>
    <w:rsid w:val="44B06ABF"/>
    <w:rsid w:val="44C879E9"/>
    <w:rsid w:val="44DE410B"/>
    <w:rsid w:val="45046549"/>
    <w:rsid w:val="45080F98"/>
    <w:rsid w:val="4520319B"/>
    <w:rsid w:val="452A6789"/>
    <w:rsid w:val="45485D39"/>
    <w:rsid w:val="45562AD0"/>
    <w:rsid w:val="455E20DB"/>
    <w:rsid w:val="45817197"/>
    <w:rsid w:val="45876B22"/>
    <w:rsid w:val="459F41C9"/>
    <w:rsid w:val="45A602D1"/>
    <w:rsid w:val="45B914F0"/>
    <w:rsid w:val="46022BE9"/>
    <w:rsid w:val="46084AF2"/>
    <w:rsid w:val="460A7FF5"/>
    <w:rsid w:val="46161889"/>
    <w:rsid w:val="462908AA"/>
    <w:rsid w:val="46375641"/>
    <w:rsid w:val="46454957"/>
    <w:rsid w:val="465161EB"/>
    <w:rsid w:val="4666290D"/>
    <w:rsid w:val="467A3B2C"/>
    <w:rsid w:val="468269BA"/>
    <w:rsid w:val="46914DA4"/>
    <w:rsid w:val="469F14E0"/>
    <w:rsid w:val="46B4048E"/>
    <w:rsid w:val="46BD331C"/>
    <w:rsid w:val="46EA50E5"/>
    <w:rsid w:val="46F459F4"/>
    <w:rsid w:val="472268C3"/>
    <w:rsid w:val="47373CCA"/>
    <w:rsid w:val="473D2970"/>
    <w:rsid w:val="473E4B6F"/>
    <w:rsid w:val="47521611"/>
    <w:rsid w:val="47947AFC"/>
    <w:rsid w:val="47966882"/>
    <w:rsid w:val="47E71B04"/>
    <w:rsid w:val="47EB3D8E"/>
    <w:rsid w:val="47F25917"/>
    <w:rsid w:val="47F90B25"/>
    <w:rsid w:val="4823219D"/>
    <w:rsid w:val="48457920"/>
    <w:rsid w:val="48567BBA"/>
    <w:rsid w:val="485965C0"/>
    <w:rsid w:val="485E2A48"/>
    <w:rsid w:val="48686BDB"/>
    <w:rsid w:val="48973EA7"/>
    <w:rsid w:val="48BD40E6"/>
    <w:rsid w:val="48F94E45"/>
    <w:rsid w:val="48FC5DC9"/>
    <w:rsid w:val="49154775"/>
    <w:rsid w:val="491C7983"/>
    <w:rsid w:val="491E2E86"/>
    <w:rsid w:val="49256F8E"/>
    <w:rsid w:val="49316623"/>
    <w:rsid w:val="493375A8"/>
    <w:rsid w:val="493C6BB3"/>
    <w:rsid w:val="493D7EB8"/>
    <w:rsid w:val="49447842"/>
    <w:rsid w:val="49516B58"/>
    <w:rsid w:val="495A3BE4"/>
    <w:rsid w:val="495C4EE9"/>
    <w:rsid w:val="496C5184"/>
    <w:rsid w:val="499A0251"/>
    <w:rsid w:val="49A14359"/>
    <w:rsid w:val="49A52D5F"/>
    <w:rsid w:val="49B33379"/>
    <w:rsid w:val="49B52FF9"/>
    <w:rsid w:val="49BD3C89"/>
    <w:rsid w:val="49D203AB"/>
    <w:rsid w:val="49EB6D57"/>
    <w:rsid w:val="49F650E8"/>
    <w:rsid w:val="49FC6FF1"/>
    <w:rsid w:val="49FE46F2"/>
    <w:rsid w:val="4A0230F9"/>
    <w:rsid w:val="4A041E7F"/>
    <w:rsid w:val="4A1D1724"/>
    <w:rsid w:val="4A4A12EF"/>
    <w:rsid w:val="4A67089F"/>
    <w:rsid w:val="4A7965BA"/>
    <w:rsid w:val="4A8C305D"/>
    <w:rsid w:val="4AD43451"/>
    <w:rsid w:val="4B182C41"/>
    <w:rsid w:val="4B1B3BC5"/>
    <w:rsid w:val="4B2C5164"/>
    <w:rsid w:val="4B473790"/>
    <w:rsid w:val="4B5701A7"/>
    <w:rsid w:val="4B982295"/>
    <w:rsid w:val="4BC45398"/>
    <w:rsid w:val="4BD33374"/>
    <w:rsid w:val="4BDE7186"/>
    <w:rsid w:val="4BE56B11"/>
    <w:rsid w:val="4C13635C"/>
    <w:rsid w:val="4C220B74"/>
    <w:rsid w:val="4C73767A"/>
    <w:rsid w:val="4CC37750"/>
    <w:rsid w:val="4CCB5B0A"/>
    <w:rsid w:val="4D077EEE"/>
    <w:rsid w:val="4D252D21"/>
    <w:rsid w:val="4D405AC9"/>
    <w:rsid w:val="4D590BF1"/>
    <w:rsid w:val="4D5F057C"/>
    <w:rsid w:val="4DB90697"/>
    <w:rsid w:val="4DEE4968"/>
    <w:rsid w:val="4DF200CA"/>
    <w:rsid w:val="4E257040"/>
    <w:rsid w:val="4E2E0C65"/>
    <w:rsid w:val="4E391564"/>
    <w:rsid w:val="4E626EA5"/>
    <w:rsid w:val="4E9D1289"/>
    <w:rsid w:val="4EAC18A3"/>
    <w:rsid w:val="4EDA586A"/>
    <w:rsid w:val="4EE306F8"/>
    <w:rsid w:val="4F065435"/>
    <w:rsid w:val="4F13254C"/>
    <w:rsid w:val="4F1521CC"/>
    <w:rsid w:val="4F316279"/>
    <w:rsid w:val="4F342A81"/>
    <w:rsid w:val="4F5C4B3F"/>
    <w:rsid w:val="4F5D5E43"/>
    <w:rsid w:val="4F7E6378"/>
    <w:rsid w:val="4F8A7C0C"/>
    <w:rsid w:val="4FA7753C"/>
    <w:rsid w:val="4FB045C9"/>
    <w:rsid w:val="4FD25E02"/>
    <w:rsid w:val="4FE44E23"/>
    <w:rsid w:val="50074FD7"/>
    <w:rsid w:val="50095F5C"/>
    <w:rsid w:val="5012466D"/>
    <w:rsid w:val="506640F7"/>
    <w:rsid w:val="50683D77"/>
    <w:rsid w:val="506917F9"/>
    <w:rsid w:val="508942AC"/>
    <w:rsid w:val="508A55B1"/>
    <w:rsid w:val="508C0AB4"/>
    <w:rsid w:val="50A84B61"/>
    <w:rsid w:val="50AB1369"/>
    <w:rsid w:val="50D21228"/>
    <w:rsid w:val="50E0053E"/>
    <w:rsid w:val="511C03A3"/>
    <w:rsid w:val="512D063D"/>
    <w:rsid w:val="514F07F2"/>
    <w:rsid w:val="514F4075"/>
    <w:rsid w:val="5156017D"/>
    <w:rsid w:val="5160430F"/>
    <w:rsid w:val="516F6B28"/>
    <w:rsid w:val="517777B8"/>
    <w:rsid w:val="518335CA"/>
    <w:rsid w:val="51892F55"/>
    <w:rsid w:val="51CD4943"/>
    <w:rsid w:val="51EF28F9"/>
    <w:rsid w:val="521108B0"/>
    <w:rsid w:val="523C29F9"/>
    <w:rsid w:val="52463308"/>
    <w:rsid w:val="52730954"/>
    <w:rsid w:val="52D2096E"/>
    <w:rsid w:val="52D67374"/>
    <w:rsid w:val="52D860FA"/>
    <w:rsid w:val="532B0103"/>
    <w:rsid w:val="53370692"/>
    <w:rsid w:val="5350123C"/>
    <w:rsid w:val="536227DB"/>
    <w:rsid w:val="53645CDE"/>
    <w:rsid w:val="537D468A"/>
    <w:rsid w:val="539B3C3A"/>
    <w:rsid w:val="53E21E30"/>
    <w:rsid w:val="53E762B8"/>
    <w:rsid w:val="54055868"/>
    <w:rsid w:val="541C548D"/>
    <w:rsid w:val="546D070F"/>
    <w:rsid w:val="548670BA"/>
    <w:rsid w:val="54AF027F"/>
    <w:rsid w:val="54CA432C"/>
    <w:rsid w:val="54E23F51"/>
    <w:rsid w:val="551321A2"/>
    <w:rsid w:val="551C5030"/>
    <w:rsid w:val="552227BC"/>
    <w:rsid w:val="553B2061"/>
    <w:rsid w:val="55545189"/>
    <w:rsid w:val="558859E4"/>
    <w:rsid w:val="55966EF8"/>
    <w:rsid w:val="559C4684"/>
    <w:rsid w:val="559F1D86"/>
    <w:rsid w:val="55BD1336"/>
    <w:rsid w:val="55BF4839"/>
    <w:rsid w:val="55DB4169"/>
    <w:rsid w:val="56031AAA"/>
    <w:rsid w:val="564D31A3"/>
    <w:rsid w:val="566278C5"/>
    <w:rsid w:val="566B5FD6"/>
    <w:rsid w:val="566C3A58"/>
    <w:rsid w:val="569E667C"/>
    <w:rsid w:val="56AA353D"/>
    <w:rsid w:val="56AE57C6"/>
    <w:rsid w:val="56C553EB"/>
    <w:rsid w:val="56D368FF"/>
    <w:rsid w:val="5715646F"/>
    <w:rsid w:val="574D00A2"/>
    <w:rsid w:val="575823DC"/>
    <w:rsid w:val="575933F7"/>
    <w:rsid w:val="57736809"/>
    <w:rsid w:val="57853648"/>
    <w:rsid w:val="57A25CD3"/>
    <w:rsid w:val="57A8345F"/>
    <w:rsid w:val="57CF589D"/>
    <w:rsid w:val="57E45843"/>
    <w:rsid w:val="57F6575D"/>
    <w:rsid w:val="58560FFA"/>
    <w:rsid w:val="587C3438"/>
    <w:rsid w:val="58DB6CD4"/>
    <w:rsid w:val="58E7636A"/>
    <w:rsid w:val="58EE5CF5"/>
    <w:rsid w:val="590D65AA"/>
    <w:rsid w:val="591D6844"/>
    <w:rsid w:val="594A2B8C"/>
    <w:rsid w:val="594F1212"/>
    <w:rsid w:val="597F77E2"/>
    <w:rsid w:val="598002BB"/>
    <w:rsid w:val="59843C6A"/>
    <w:rsid w:val="59957B00"/>
    <w:rsid w:val="59B966C3"/>
    <w:rsid w:val="5A1B5462"/>
    <w:rsid w:val="5A1E05E5"/>
    <w:rsid w:val="5A3C3419"/>
    <w:rsid w:val="5A4056A2"/>
    <w:rsid w:val="5A4717AA"/>
    <w:rsid w:val="5A540ABF"/>
    <w:rsid w:val="5A692FE3"/>
    <w:rsid w:val="5AAD0254"/>
    <w:rsid w:val="5ABA3CE7"/>
    <w:rsid w:val="5AD1170E"/>
    <w:rsid w:val="5B363630"/>
    <w:rsid w:val="5B507A5E"/>
    <w:rsid w:val="5B584E6A"/>
    <w:rsid w:val="5B721297"/>
    <w:rsid w:val="5B7E2B2B"/>
    <w:rsid w:val="5B8646B4"/>
    <w:rsid w:val="5B895639"/>
    <w:rsid w:val="5BE80ED6"/>
    <w:rsid w:val="5C0A6E8C"/>
    <w:rsid w:val="5C59248E"/>
    <w:rsid w:val="5C7C71CB"/>
    <w:rsid w:val="5C852059"/>
    <w:rsid w:val="5CE53377"/>
    <w:rsid w:val="5CEC2D02"/>
    <w:rsid w:val="5D074BB1"/>
    <w:rsid w:val="5D094830"/>
    <w:rsid w:val="5D142BC1"/>
    <w:rsid w:val="5D1773C9"/>
    <w:rsid w:val="5D1D6D54"/>
    <w:rsid w:val="5D3A4FFF"/>
    <w:rsid w:val="5D3D1807"/>
    <w:rsid w:val="5D502A26"/>
    <w:rsid w:val="5D6F7A58"/>
    <w:rsid w:val="5D793BEB"/>
    <w:rsid w:val="5D915A0E"/>
    <w:rsid w:val="5D99669E"/>
    <w:rsid w:val="5D9A4EFD"/>
    <w:rsid w:val="5DA424B0"/>
    <w:rsid w:val="5DB96BD3"/>
    <w:rsid w:val="5DD87487"/>
    <w:rsid w:val="5DDA7107"/>
    <w:rsid w:val="5DF012AB"/>
    <w:rsid w:val="5DF55733"/>
    <w:rsid w:val="5E0324CA"/>
    <w:rsid w:val="5E153A69"/>
    <w:rsid w:val="5E2D1110"/>
    <w:rsid w:val="5E3873B6"/>
    <w:rsid w:val="5E471CBA"/>
    <w:rsid w:val="5E546DD1"/>
    <w:rsid w:val="5E5C63DC"/>
    <w:rsid w:val="5EB05E66"/>
    <w:rsid w:val="5EB3266E"/>
    <w:rsid w:val="5EB96775"/>
    <w:rsid w:val="5ED50624"/>
    <w:rsid w:val="5EE31B38"/>
    <w:rsid w:val="5EE42E3D"/>
    <w:rsid w:val="5EE73DC1"/>
    <w:rsid w:val="5F037E6E"/>
    <w:rsid w:val="5F0A307C"/>
    <w:rsid w:val="5F102A07"/>
    <w:rsid w:val="5F145B8A"/>
    <w:rsid w:val="5F1F3F1B"/>
    <w:rsid w:val="5F243C26"/>
    <w:rsid w:val="5F401ED1"/>
    <w:rsid w:val="5F451BDC"/>
    <w:rsid w:val="5F5159EF"/>
    <w:rsid w:val="5F5B3D80"/>
    <w:rsid w:val="5F5C1802"/>
    <w:rsid w:val="5FDE68D8"/>
    <w:rsid w:val="5FEB5BEE"/>
    <w:rsid w:val="600F70A7"/>
    <w:rsid w:val="60195438"/>
    <w:rsid w:val="603A11F0"/>
    <w:rsid w:val="603C46F3"/>
    <w:rsid w:val="60443CFE"/>
    <w:rsid w:val="60636B31"/>
    <w:rsid w:val="6080285E"/>
    <w:rsid w:val="60BD1DF5"/>
    <w:rsid w:val="60DF60FA"/>
    <w:rsid w:val="60E50004"/>
    <w:rsid w:val="60F577E0"/>
    <w:rsid w:val="61001EB2"/>
    <w:rsid w:val="61017934"/>
    <w:rsid w:val="6106763F"/>
    <w:rsid w:val="611A2A5C"/>
    <w:rsid w:val="611B04DE"/>
    <w:rsid w:val="613C0A12"/>
    <w:rsid w:val="61763176"/>
    <w:rsid w:val="6198112C"/>
    <w:rsid w:val="61A00737"/>
    <w:rsid w:val="61CC2880"/>
    <w:rsid w:val="61FF3FD4"/>
    <w:rsid w:val="62142C74"/>
    <w:rsid w:val="62207D8C"/>
    <w:rsid w:val="623779B1"/>
    <w:rsid w:val="623E513D"/>
    <w:rsid w:val="62716891"/>
    <w:rsid w:val="627E0125"/>
    <w:rsid w:val="62C63D9D"/>
    <w:rsid w:val="62D50B34"/>
    <w:rsid w:val="62F51069"/>
    <w:rsid w:val="63045E00"/>
    <w:rsid w:val="63057105"/>
    <w:rsid w:val="633E6EDE"/>
    <w:rsid w:val="636E32B1"/>
    <w:rsid w:val="638A155C"/>
    <w:rsid w:val="638C2861"/>
    <w:rsid w:val="639C2AFB"/>
    <w:rsid w:val="639F01FD"/>
    <w:rsid w:val="63B9462A"/>
    <w:rsid w:val="63C86E42"/>
    <w:rsid w:val="63FC0596"/>
    <w:rsid w:val="641D00AF"/>
    <w:rsid w:val="642C6B67"/>
    <w:rsid w:val="642F7AEC"/>
    <w:rsid w:val="646237BE"/>
    <w:rsid w:val="646B1ECF"/>
    <w:rsid w:val="64725FD6"/>
    <w:rsid w:val="64B51049"/>
    <w:rsid w:val="64C115D9"/>
    <w:rsid w:val="64CB576C"/>
    <w:rsid w:val="64DE698B"/>
    <w:rsid w:val="64E84D1C"/>
    <w:rsid w:val="64F1206D"/>
    <w:rsid w:val="64F64031"/>
    <w:rsid w:val="650B3FD7"/>
    <w:rsid w:val="65354E1B"/>
    <w:rsid w:val="6570177D"/>
    <w:rsid w:val="658A6AA3"/>
    <w:rsid w:val="658D32AB"/>
    <w:rsid w:val="65B243E4"/>
    <w:rsid w:val="65E74C3F"/>
    <w:rsid w:val="65FA5E5E"/>
    <w:rsid w:val="66146A07"/>
    <w:rsid w:val="66310536"/>
    <w:rsid w:val="66426252"/>
    <w:rsid w:val="665E5B82"/>
    <w:rsid w:val="66724822"/>
    <w:rsid w:val="669B59E7"/>
    <w:rsid w:val="67161AAD"/>
    <w:rsid w:val="67205C40"/>
    <w:rsid w:val="67A50097"/>
    <w:rsid w:val="67A7139C"/>
    <w:rsid w:val="680E4244"/>
    <w:rsid w:val="68184B53"/>
    <w:rsid w:val="681F3395"/>
    <w:rsid w:val="68344483"/>
    <w:rsid w:val="683E4D93"/>
    <w:rsid w:val="68546F36"/>
    <w:rsid w:val="686E3363"/>
    <w:rsid w:val="687C4877"/>
    <w:rsid w:val="689457A1"/>
    <w:rsid w:val="68997A2B"/>
    <w:rsid w:val="689C2BAE"/>
    <w:rsid w:val="68A747C2"/>
    <w:rsid w:val="68AE414D"/>
    <w:rsid w:val="68B946DC"/>
    <w:rsid w:val="68C656C9"/>
    <w:rsid w:val="68FE51D1"/>
    <w:rsid w:val="695113D8"/>
    <w:rsid w:val="6991693E"/>
    <w:rsid w:val="69A50E62"/>
    <w:rsid w:val="69E36748"/>
    <w:rsid w:val="69EC15D6"/>
    <w:rsid w:val="69FE14F0"/>
    <w:rsid w:val="6A5034F9"/>
    <w:rsid w:val="6A886ED6"/>
    <w:rsid w:val="6AA9520C"/>
    <w:rsid w:val="6AAA4E8C"/>
    <w:rsid w:val="6ADB0EDF"/>
    <w:rsid w:val="6AEE467C"/>
    <w:rsid w:val="6B0777A4"/>
    <w:rsid w:val="6B3959F5"/>
    <w:rsid w:val="6B3A0EF8"/>
    <w:rsid w:val="6B7248D5"/>
    <w:rsid w:val="6BA73AAA"/>
    <w:rsid w:val="6BC952E4"/>
    <w:rsid w:val="6BE04F09"/>
    <w:rsid w:val="6BE62696"/>
    <w:rsid w:val="6C2F457C"/>
    <w:rsid w:val="6C43172A"/>
    <w:rsid w:val="6C9824B9"/>
    <w:rsid w:val="6CB51A69"/>
    <w:rsid w:val="6CCA2908"/>
    <w:rsid w:val="6D2E262D"/>
    <w:rsid w:val="6D3B5B01"/>
    <w:rsid w:val="6DC9282B"/>
    <w:rsid w:val="6DEA07E1"/>
    <w:rsid w:val="6DF25BEE"/>
    <w:rsid w:val="6E0B4599"/>
    <w:rsid w:val="6E5C781B"/>
    <w:rsid w:val="6E624FA8"/>
    <w:rsid w:val="6E842F5E"/>
    <w:rsid w:val="6E9C3E88"/>
    <w:rsid w:val="6EA1250E"/>
    <w:rsid w:val="6EB724B4"/>
    <w:rsid w:val="6F123AC7"/>
    <w:rsid w:val="6F14284D"/>
    <w:rsid w:val="6F262767"/>
    <w:rsid w:val="6F5013AD"/>
    <w:rsid w:val="6F7E447B"/>
    <w:rsid w:val="6F7F1EFD"/>
    <w:rsid w:val="6F8E6C94"/>
    <w:rsid w:val="6F930B9D"/>
    <w:rsid w:val="6F9F112C"/>
    <w:rsid w:val="6F9F49B0"/>
    <w:rsid w:val="6FF5793D"/>
    <w:rsid w:val="701B1D7B"/>
    <w:rsid w:val="701F0781"/>
    <w:rsid w:val="70637F71"/>
    <w:rsid w:val="70943FC3"/>
    <w:rsid w:val="70A367DC"/>
    <w:rsid w:val="715F4991"/>
    <w:rsid w:val="716C6225"/>
    <w:rsid w:val="716F71A9"/>
    <w:rsid w:val="71706E29"/>
    <w:rsid w:val="71756B34"/>
    <w:rsid w:val="718070C4"/>
    <w:rsid w:val="718D0958"/>
    <w:rsid w:val="71C07EAD"/>
    <w:rsid w:val="71CD4FC5"/>
    <w:rsid w:val="71DC3F5A"/>
    <w:rsid w:val="723A7B77"/>
    <w:rsid w:val="72403C7E"/>
    <w:rsid w:val="725D57AD"/>
    <w:rsid w:val="726254B8"/>
    <w:rsid w:val="72721ECF"/>
    <w:rsid w:val="72750781"/>
    <w:rsid w:val="72923A89"/>
    <w:rsid w:val="72AC4633"/>
    <w:rsid w:val="72D77675"/>
    <w:rsid w:val="731D2368"/>
    <w:rsid w:val="73237AF4"/>
    <w:rsid w:val="734E63BA"/>
    <w:rsid w:val="735C0F53"/>
    <w:rsid w:val="73636360"/>
    <w:rsid w:val="73946B2F"/>
    <w:rsid w:val="73C550FF"/>
    <w:rsid w:val="73CC250C"/>
    <w:rsid w:val="73D7089D"/>
    <w:rsid w:val="73E47BB2"/>
    <w:rsid w:val="73FD2CDB"/>
    <w:rsid w:val="74245119"/>
    <w:rsid w:val="744C085C"/>
    <w:rsid w:val="745323E5"/>
    <w:rsid w:val="74651405"/>
    <w:rsid w:val="746A200A"/>
    <w:rsid w:val="74CD42AD"/>
    <w:rsid w:val="74FD4DFC"/>
    <w:rsid w:val="75275C40"/>
    <w:rsid w:val="754F6E04"/>
    <w:rsid w:val="756722AD"/>
    <w:rsid w:val="75676A2A"/>
    <w:rsid w:val="75702BBC"/>
    <w:rsid w:val="757921C7"/>
    <w:rsid w:val="759E4985"/>
    <w:rsid w:val="759F2407"/>
    <w:rsid w:val="75A5650E"/>
    <w:rsid w:val="75B3511C"/>
    <w:rsid w:val="75CD54D4"/>
    <w:rsid w:val="75DA0F67"/>
    <w:rsid w:val="75F60897"/>
    <w:rsid w:val="76026A27"/>
    <w:rsid w:val="760F39BF"/>
    <w:rsid w:val="76276E68"/>
    <w:rsid w:val="76671E50"/>
    <w:rsid w:val="766A30C6"/>
    <w:rsid w:val="768F5592"/>
    <w:rsid w:val="769B35A3"/>
    <w:rsid w:val="76A267B1"/>
    <w:rsid w:val="76A72C39"/>
    <w:rsid w:val="76AC12BF"/>
    <w:rsid w:val="76B10FCA"/>
    <w:rsid w:val="76B579D0"/>
    <w:rsid w:val="76BE285E"/>
    <w:rsid w:val="76CA40F3"/>
    <w:rsid w:val="76CB62F1"/>
    <w:rsid w:val="76DC7890"/>
    <w:rsid w:val="76DD68F5"/>
    <w:rsid w:val="76F6623C"/>
    <w:rsid w:val="771B2BF8"/>
    <w:rsid w:val="77792F92"/>
    <w:rsid w:val="7794703F"/>
    <w:rsid w:val="779E40CB"/>
    <w:rsid w:val="77C5780E"/>
    <w:rsid w:val="77F23B55"/>
    <w:rsid w:val="7811440A"/>
    <w:rsid w:val="7843265A"/>
    <w:rsid w:val="7844395F"/>
    <w:rsid w:val="785051F3"/>
    <w:rsid w:val="78563879"/>
    <w:rsid w:val="785E0C86"/>
    <w:rsid w:val="78807F41"/>
    <w:rsid w:val="78886285"/>
    <w:rsid w:val="78964663"/>
    <w:rsid w:val="78A7237F"/>
    <w:rsid w:val="78A87E00"/>
    <w:rsid w:val="78D31F49"/>
    <w:rsid w:val="78D479CB"/>
    <w:rsid w:val="7907369D"/>
    <w:rsid w:val="792F355C"/>
    <w:rsid w:val="795D662A"/>
    <w:rsid w:val="79707849"/>
    <w:rsid w:val="79936B04"/>
    <w:rsid w:val="799F60E4"/>
    <w:rsid w:val="79B47039"/>
    <w:rsid w:val="79B85A3F"/>
    <w:rsid w:val="79BE31CC"/>
    <w:rsid w:val="79CB6C5E"/>
    <w:rsid w:val="79D21E6C"/>
    <w:rsid w:val="79F26B1E"/>
    <w:rsid w:val="7A8A161B"/>
    <w:rsid w:val="7A9D283A"/>
    <w:rsid w:val="7AAA62CC"/>
    <w:rsid w:val="7AAB3D4E"/>
    <w:rsid w:val="7ABA4368"/>
    <w:rsid w:val="7AFB4DD2"/>
    <w:rsid w:val="7B14377D"/>
    <w:rsid w:val="7B197C05"/>
    <w:rsid w:val="7B3E6B40"/>
    <w:rsid w:val="7B5D15F3"/>
    <w:rsid w:val="7B617FF9"/>
    <w:rsid w:val="7B690C89"/>
    <w:rsid w:val="7B6A2E87"/>
    <w:rsid w:val="7B9826D1"/>
    <w:rsid w:val="7BC21317"/>
    <w:rsid w:val="7BD215B2"/>
    <w:rsid w:val="7BED3460"/>
    <w:rsid w:val="7BFD7E77"/>
    <w:rsid w:val="7C0242FF"/>
    <w:rsid w:val="7C2535BA"/>
    <w:rsid w:val="7C3D44E4"/>
    <w:rsid w:val="7C4E477F"/>
    <w:rsid w:val="7C57180B"/>
    <w:rsid w:val="7C5C1516"/>
    <w:rsid w:val="7C5D3714"/>
    <w:rsid w:val="7C8D1CE5"/>
    <w:rsid w:val="7CB57626"/>
    <w:rsid w:val="7CD633DE"/>
    <w:rsid w:val="7CFE6B21"/>
    <w:rsid w:val="7D025527"/>
    <w:rsid w:val="7D214757"/>
    <w:rsid w:val="7D3127F3"/>
    <w:rsid w:val="7D360E79"/>
    <w:rsid w:val="7D590134"/>
    <w:rsid w:val="7D71105E"/>
    <w:rsid w:val="7DA13DAB"/>
    <w:rsid w:val="7DC27B63"/>
    <w:rsid w:val="7DD035F6"/>
    <w:rsid w:val="7DF0192C"/>
    <w:rsid w:val="7DFC31C0"/>
    <w:rsid w:val="7E034D49"/>
    <w:rsid w:val="7E287508"/>
    <w:rsid w:val="7E37429F"/>
    <w:rsid w:val="7E3D1A2B"/>
    <w:rsid w:val="7E595AD8"/>
    <w:rsid w:val="7E5C44DF"/>
    <w:rsid w:val="7E5E79E2"/>
    <w:rsid w:val="7E9868C2"/>
    <w:rsid w:val="7EB70070"/>
    <w:rsid w:val="7F086B76"/>
    <w:rsid w:val="7F0C557C"/>
    <w:rsid w:val="7F16390D"/>
    <w:rsid w:val="7F346740"/>
    <w:rsid w:val="7F392BC8"/>
    <w:rsid w:val="7F5F2E08"/>
    <w:rsid w:val="7F687E94"/>
    <w:rsid w:val="7F867444"/>
    <w:rsid w:val="7FBD0C23"/>
    <w:rsid w:val="7FDB01D3"/>
    <w:rsid w:val="7FFF3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US" w:eastAsia="en-US" w:bidi="ar-SA"/>
      <w14:ligatures w14:val="standardContextual"/>
    </w:rPr>
  </w:style>
  <w:style w:type="paragraph" w:styleId="2">
    <w:name w:val="heading 1"/>
    <w:basedOn w:val="1"/>
    <w:next w:val="1"/>
    <w:link w:val="23"/>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4"/>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5"/>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6"/>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7"/>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8"/>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9"/>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0"/>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1"/>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ody Text Indent 2"/>
    <w:basedOn w:val="1"/>
    <w:link w:val="46"/>
    <w:qFormat/>
    <w:uiPriority w:val="0"/>
    <w:pPr>
      <w:spacing w:after="120" w:line="480" w:lineRule="auto"/>
      <w:ind w:left="360"/>
    </w:pPr>
    <w:rPr>
      <w:rFonts w:ascii=".VnTime" w:hAnsi=".VnTime" w:eastAsia="Times New Roman" w:cs="Times New Roman"/>
      <w:kern w:val="0"/>
      <w:sz w:val="28"/>
      <w:szCs w:val="20"/>
      <w14:ligatures w14:val="none"/>
    </w:rPr>
  </w:style>
  <w:style w:type="character" w:styleId="14">
    <w:name w:val="Emphasis"/>
    <w:basedOn w:val="11"/>
    <w:qFormat/>
    <w:uiPriority w:val="20"/>
    <w:rPr>
      <w:i/>
      <w:iCs/>
    </w:rPr>
  </w:style>
  <w:style w:type="paragraph" w:styleId="15">
    <w:name w:val="footer"/>
    <w:basedOn w:val="1"/>
    <w:link w:val="43"/>
    <w:unhideWhenUsed/>
    <w:qFormat/>
    <w:uiPriority w:val="99"/>
    <w:pPr>
      <w:tabs>
        <w:tab w:val="center" w:pos="4680"/>
        <w:tab w:val="right" w:pos="9360"/>
      </w:tabs>
      <w:spacing w:after="0" w:line="240" w:lineRule="auto"/>
    </w:pPr>
  </w:style>
  <w:style w:type="paragraph" w:styleId="16">
    <w:name w:val="header"/>
    <w:basedOn w:val="1"/>
    <w:link w:val="42"/>
    <w:unhideWhenUsed/>
    <w:qFormat/>
    <w:uiPriority w:val="99"/>
    <w:pPr>
      <w:tabs>
        <w:tab w:val="center" w:pos="4680"/>
        <w:tab w:val="right" w:pos="9360"/>
      </w:tabs>
      <w:spacing w:after="0" w:line="240" w:lineRule="auto"/>
    </w:pPr>
  </w:style>
  <w:style w:type="character" w:styleId="17">
    <w:name w:val="Hyperlink"/>
    <w:basedOn w:val="11"/>
    <w:unhideWhenUsed/>
    <w:qFormat/>
    <w:uiPriority w:val="99"/>
    <w:rPr>
      <w:color w:val="467886" w:themeColor="hyperlink"/>
      <w:u w:val="single"/>
      <w14:textFill>
        <w14:solidFill>
          <w14:schemeClr w14:val="hlink"/>
        </w14:solidFill>
      </w14:textFill>
    </w:r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19">
    <w:name w:val="Strong"/>
    <w:basedOn w:val="11"/>
    <w:qFormat/>
    <w:uiPriority w:val="22"/>
    <w:rPr>
      <w:b/>
      <w:bCs/>
    </w:rPr>
  </w:style>
  <w:style w:type="paragraph" w:styleId="20">
    <w:name w:val="Subtitle"/>
    <w:basedOn w:val="1"/>
    <w:next w:val="1"/>
    <w:link w:val="3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1">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2">
    <w:name w:val="Title"/>
    <w:basedOn w:val="1"/>
    <w:next w:val="1"/>
    <w:link w:val="32"/>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3">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4">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5">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6">
    <w:name w:val="Heading 4 Char"/>
    <w:basedOn w:val="11"/>
    <w:link w:val="5"/>
    <w:semiHidden/>
    <w:qFormat/>
    <w:uiPriority w:val="9"/>
    <w:rPr>
      <w:rFonts w:eastAsiaTheme="majorEastAsia" w:cstheme="majorBidi"/>
      <w:i/>
      <w:iCs/>
      <w:color w:val="104862" w:themeColor="accent1" w:themeShade="BF"/>
    </w:rPr>
  </w:style>
  <w:style w:type="character" w:customStyle="1" w:styleId="27">
    <w:name w:val="Heading 5 Char"/>
    <w:basedOn w:val="11"/>
    <w:link w:val="6"/>
    <w:semiHidden/>
    <w:qFormat/>
    <w:uiPriority w:val="9"/>
    <w:rPr>
      <w:rFonts w:eastAsiaTheme="majorEastAsia" w:cstheme="majorBidi"/>
      <w:color w:val="104862" w:themeColor="accent1" w:themeShade="BF"/>
    </w:rPr>
  </w:style>
  <w:style w:type="character" w:customStyle="1" w:styleId="28">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9">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1">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2">
    <w:name w:val="Title Char"/>
    <w:basedOn w:val="11"/>
    <w:link w:val="22"/>
    <w:qFormat/>
    <w:uiPriority w:val="10"/>
    <w:rPr>
      <w:rFonts w:asciiTheme="majorHAnsi" w:hAnsiTheme="majorHAnsi" w:eastAsiaTheme="majorEastAsia" w:cstheme="majorBidi"/>
      <w:spacing w:val="-10"/>
      <w:kern w:val="28"/>
      <w:sz w:val="56"/>
      <w:szCs w:val="56"/>
    </w:rPr>
  </w:style>
  <w:style w:type="character" w:customStyle="1" w:styleId="33">
    <w:name w:val="Subtitle Char"/>
    <w:basedOn w:val="11"/>
    <w:link w:val="20"/>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5">
    <w:name w:val="Quote Char"/>
    <w:basedOn w:val="11"/>
    <w:link w:val="34"/>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link w:val="41"/>
    <w:qFormat/>
    <w:uiPriority w:val="34"/>
    <w:pPr>
      <w:ind w:left="720"/>
      <w:contextualSpacing/>
    </w:pPr>
  </w:style>
  <w:style w:type="character" w:customStyle="1" w:styleId="37">
    <w:name w:val="Intense Emphasis"/>
    <w:basedOn w:val="11"/>
    <w:qFormat/>
    <w:uiPriority w:val="21"/>
    <w:rPr>
      <w:i/>
      <w:iCs/>
      <w:color w:val="104862" w:themeColor="accent1" w:themeShade="BF"/>
    </w:rPr>
  </w:style>
  <w:style w:type="paragraph" w:styleId="38">
    <w:name w:val="Intense Quote"/>
    <w:basedOn w:val="1"/>
    <w:next w:val="1"/>
    <w:link w:val="39"/>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9">
    <w:name w:val="Intense Quote Char"/>
    <w:basedOn w:val="11"/>
    <w:link w:val="38"/>
    <w:qFormat/>
    <w:uiPriority w:val="30"/>
    <w:rPr>
      <w:i/>
      <w:iCs/>
      <w:color w:val="104862" w:themeColor="accent1" w:themeShade="BF"/>
    </w:rPr>
  </w:style>
  <w:style w:type="character" w:customStyle="1" w:styleId="40">
    <w:name w:val="Intense Reference"/>
    <w:basedOn w:val="11"/>
    <w:qFormat/>
    <w:uiPriority w:val="32"/>
    <w:rPr>
      <w:b/>
      <w:bCs/>
      <w:smallCaps/>
      <w:color w:val="104862" w:themeColor="accent1" w:themeShade="BF"/>
      <w:spacing w:val="5"/>
    </w:rPr>
  </w:style>
  <w:style w:type="character" w:customStyle="1" w:styleId="41">
    <w:name w:val="List Paragraph Char"/>
    <w:link w:val="36"/>
    <w:qFormat/>
    <w:locked/>
    <w:uiPriority w:val="34"/>
  </w:style>
  <w:style w:type="character" w:customStyle="1" w:styleId="42">
    <w:name w:val="Header Char"/>
    <w:basedOn w:val="11"/>
    <w:link w:val="16"/>
    <w:qFormat/>
    <w:uiPriority w:val="99"/>
  </w:style>
  <w:style w:type="character" w:customStyle="1" w:styleId="43">
    <w:name w:val="Footer Char"/>
    <w:basedOn w:val="11"/>
    <w:link w:val="15"/>
    <w:qFormat/>
    <w:uiPriority w:val="99"/>
  </w:style>
  <w:style w:type="character" w:customStyle="1" w:styleId="44">
    <w:name w:val="ng-star-inserted"/>
    <w:basedOn w:val="11"/>
    <w:qFormat/>
    <w:uiPriority w:val="0"/>
  </w:style>
  <w:style w:type="character" w:customStyle="1" w:styleId="45">
    <w:name w:val="text"/>
    <w:basedOn w:val="11"/>
    <w:qFormat/>
    <w:uiPriority w:val="0"/>
  </w:style>
  <w:style w:type="character" w:customStyle="1" w:styleId="46">
    <w:name w:val="Body Text Indent 2 Char"/>
    <w:basedOn w:val="11"/>
    <w:link w:val="13"/>
    <w:qFormat/>
    <w:uiPriority w:val="0"/>
    <w:rPr>
      <w:rFonts w:ascii=".VnTime" w:hAnsi=".VnTime" w:eastAsia="Times New Roman" w:cs="Times New Roman"/>
      <w:kern w:val="0"/>
      <w:sz w:val="28"/>
      <w:szCs w:val="20"/>
      <w14:ligatures w14:val="none"/>
    </w:rPr>
  </w:style>
  <w:style w:type="character" w:customStyle="1" w:styleId="47">
    <w:name w:val="whitespace-normal"/>
    <w:basedOn w:val="11"/>
    <w:qFormat/>
    <w:uiPriority w:val="0"/>
  </w:style>
  <w:style w:type="paragraph" w:customStyle="1" w:styleId="48">
    <w:name w:val="Default"/>
    <w:qFormat/>
    <w:uiPriority w:val="0"/>
    <w:pPr>
      <w:autoSpaceDE w:val="0"/>
      <w:autoSpaceDN w:val="0"/>
      <w:adjustRightInd w:val="0"/>
      <w:spacing w:after="0" w:line="240" w:lineRule="auto"/>
    </w:pPr>
    <w:rPr>
      <w:rFonts w:ascii="Times New Roman" w:hAnsi="Times New Roman" w:cs="Times New Roman" w:eastAsiaTheme="minorHAnsi"/>
      <w:color w:val="000000"/>
      <w:kern w:val="0"/>
      <w:sz w:val="24"/>
      <w:szCs w:val="24"/>
      <w:lang w:val="vi-VN"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822C10-0A7E-47CE-ACF5-EBD636A479D2}">
  <ds:schemaRefs/>
</ds:datastoreItem>
</file>

<file path=docProps/app.xml><?xml version="1.0" encoding="utf-8"?>
<Properties xmlns="http://schemas.openxmlformats.org/officeDocument/2006/extended-properties" xmlns:vt="http://schemas.openxmlformats.org/officeDocument/2006/docPropsVTypes">
  <Template>Normal</Template>
  <Pages>109</Pages>
  <Words>448</Words>
  <Characters>1590</Characters>
  <Lines>1143</Lines>
  <Paragraphs>322</Paragraphs>
  <TotalTime>1</TotalTime>
  <ScaleCrop>false</ScaleCrop>
  <LinksUpToDate>false</LinksUpToDate>
  <CharactersWithSpaces>2026</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2026-05-26T10:31:00Z</dcterms:created>
  <dc:creator>Trần Cường</dc:creator>
  <cp:lastModifiedBy>Tiến Định Nguyễn</cp:lastModifiedBy>
  <dcterms:modified xsi:type="dcterms:W3CDTF">2026-07-02T03:46:13Z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eyJoZGlkIjoiZjBkMTZkNDY0ZjExMDNkMDdlNWVlZWVmOTMwODkyODUiLCJ1c2VySWQiOiIxMzkyMjkwMzc4Mzg3In0=</vt:lpwstr>
  </property>
  <property fmtid="{D5CDD505-2E9C-101B-9397-08002B2CF9AE}" pid="3" name="KSOProductBuildVer">
    <vt:lpwstr>1033-12.1.0.26880</vt:lpwstr>
  </property>
  <property fmtid="{D5CDD505-2E9C-101B-9397-08002B2CF9AE}" pid="4" name="ICV">
    <vt:lpwstr>A861F9DA2C2843F39BECA954753E679A_12</vt:lpwstr>
  </property>
</Properties>
</file>